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00B1B" w14:textId="77777777" w:rsidR="00AD6344" w:rsidRPr="00C50CB9" w:rsidRDefault="00160575" w:rsidP="004074AC">
      <w:pPr>
        <w:ind w:left="284"/>
        <w:jc w:val="center"/>
        <w:rPr>
          <w:b/>
        </w:rPr>
      </w:pPr>
      <w:bookmarkStart w:id="0" w:name="_GoBack"/>
      <w:bookmarkEnd w:id="0"/>
      <w:r w:rsidRPr="00C50CB9">
        <w:rPr>
          <w:b/>
        </w:rPr>
        <w:t>BASIC REQUIREMENTS FOR PLEADINGS</w:t>
      </w:r>
    </w:p>
    <w:p w14:paraId="02B6DD9C" w14:textId="77777777" w:rsidR="00160575" w:rsidRDefault="00160575" w:rsidP="004074AC">
      <w:pPr>
        <w:ind w:left="284"/>
      </w:pPr>
      <w:r>
        <w:t>Before canvassing the principal rules of pleadings, it is important to keep in mind 2 main functions of pleadings:</w:t>
      </w:r>
    </w:p>
    <w:p w14:paraId="3C605222" w14:textId="77777777" w:rsidR="00160575" w:rsidRDefault="00C50CB9" w:rsidP="004074AC">
      <w:pPr>
        <w:pStyle w:val="ListParagraph"/>
        <w:numPr>
          <w:ilvl w:val="0"/>
          <w:numId w:val="1"/>
        </w:numPr>
        <w:ind w:left="284"/>
      </w:pPr>
      <w:r>
        <w:t>To define clearly and precisely the issues or questions which are in dispute between the parties which are to be decided by the court; and</w:t>
      </w:r>
    </w:p>
    <w:p w14:paraId="563BBF7D" w14:textId="77777777" w:rsidR="00C50CB9" w:rsidRDefault="00C50CB9" w:rsidP="004074AC">
      <w:pPr>
        <w:pStyle w:val="ListParagraph"/>
        <w:numPr>
          <w:ilvl w:val="0"/>
          <w:numId w:val="1"/>
        </w:numPr>
        <w:ind w:left="284"/>
      </w:pPr>
      <w:r>
        <w:t>To give reasonable and fair notice of what is claimed.</w:t>
      </w:r>
    </w:p>
    <w:p w14:paraId="4D2E06C9" w14:textId="77777777" w:rsidR="00C50CB9" w:rsidRPr="00C50CB9" w:rsidRDefault="00C50CB9" w:rsidP="004074AC">
      <w:pPr>
        <w:ind w:left="284"/>
        <w:rPr>
          <w:b/>
        </w:rPr>
      </w:pPr>
      <w:r w:rsidRPr="00C50CB9">
        <w:rPr>
          <w:b/>
        </w:rPr>
        <w:t>PRINCIPLE RULES OF PLEADINGS</w:t>
      </w:r>
    </w:p>
    <w:tbl>
      <w:tblPr>
        <w:tblStyle w:val="TableGrid"/>
        <w:tblW w:w="5000" w:type="pct"/>
        <w:tblInd w:w="392" w:type="dxa"/>
        <w:tblLook w:val="04A0" w:firstRow="1" w:lastRow="0" w:firstColumn="1" w:lastColumn="0" w:noHBand="0" w:noVBand="1"/>
      </w:tblPr>
      <w:tblGrid>
        <w:gridCol w:w="1304"/>
        <w:gridCol w:w="4302"/>
        <w:gridCol w:w="4890"/>
        <w:gridCol w:w="4267"/>
      </w:tblGrid>
      <w:tr w:rsidR="008507DB" w14:paraId="5A7EE5FE" w14:textId="77777777">
        <w:tc>
          <w:tcPr>
            <w:tcW w:w="442" w:type="pct"/>
            <w:shd w:val="pct10" w:color="auto" w:fill="auto"/>
          </w:tcPr>
          <w:p w14:paraId="79C727D4" w14:textId="77777777" w:rsidR="008507DB" w:rsidRDefault="008507DB" w:rsidP="004074AC">
            <w:pPr>
              <w:spacing w:before="120" w:after="120"/>
              <w:ind w:left="284"/>
            </w:pPr>
          </w:p>
        </w:tc>
        <w:tc>
          <w:tcPr>
            <w:tcW w:w="1457" w:type="pct"/>
            <w:shd w:val="pct10" w:color="auto" w:fill="auto"/>
          </w:tcPr>
          <w:p w14:paraId="684FF5E9" w14:textId="77777777" w:rsidR="008507DB" w:rsidRPr="00A70997" w:rsidRDefault="008507DB" w:rsidP="004074AC">
            <w:pPr>
              <w:spacing w:before="120" w:after="120"/>
              <w:ind w:left="284"/>
              <w:rPr>
                <w:b/>
              </w:rPr>
            </w:pPr>
            <w:r w:rsidRPr="00A70997">
              <w:rPr>
                <w:b/>
              </w:rPr>
              <w:t>Principle Rules</w:t>
            </w:r>
          </w:p>
        </w:tc>
        <w:tc>
          <w:tcPr>
            <w:tcW w:w="1656" w:type="pct"/>
            <w:shd w:val="pct10" w:color="auto" w:fill="auto"/>
          </w:tcPr>
          <w:p w14:paraId="5E99DC43" w14:textId="77777777" w:rsidR="008507DB" w:rsidRPr="00A70997" w:rsidRDefault="008507DB" w:rsidP="004074AC">
            <w:pPr>
              <w:spacing w:before="120" w:after="120"/>
              <w:ind w:left="284"/>
              <w:rPr>
                <w:b/>
              </w:rPr>
            </w:pPr>
            <w:r w:rsidRPr="00A70997">
              <w:rPr>
                <w:b/>
              </w:rPr>
              <w:t>UCPR</w:t>
            </w:r>
            <w:r w:rsidR="00A70997">
              <w:rPr>
                <w:b/>
              </w:rPr>
              <w:t xml:space="preserve"> 2005</w:t>
            </w:r>
          </w:p>
        </w:tc>
        <w:tc>
          <w:tcPr>
            <w:tcW w:w="1445" w:type="pct"/>
            <w:shd w:val="pct10" w:color="auto" w:fill="auto"/>
          </w:tcPr>
          <w:p w14:paraId="4FA3D067" w14:textId="77777777" w:rsidR="008507DB" w:rsidRPr="00A70997" w:rsidRDefault="008507DB" w:rsidP="004074AC">
            <w:pPr>
              <w:spacing w:before="120" w:after="120"/>
              <w:ind w:left="284"/>
              <w:rPr>
                <w:b/>
              </w:rPr>
            </w:pPr>
            <w:r w:rsidRPr="00A70997">
              <w:rPr>
                <w:b/>
              </w:rPr>
              <w:t>FCR</w:t>
            </w:r>
            <w:r w:rsidR="00A70997">
              <w:rPr>
                <w:b/>
              </w:rPr>
              <w:t xml:space="preserve"> 2011</w:t>
            </w:r>
          </w:p>
        </w:tc>
      </w:tr>
      <w:tr w:rsidR="008B3064" w14:paraId="5A326985" w14:textId="77777777">
        <w:tc>
          <w:tcPr>
            <w:tcW w:w="442" w:type="pct"/>
          </w:tcPr>
          <w:p w14:paraId="514A34AA" w14:textId="77777777" w:rsidR="008B3064" w:rsidRDefault="008B3064" w:rsidP="004074AC">
            <w:pPr>
              <w:pStyle w:val="ListParagraph"/>
              <w:numPr>
                <w:ilvl w:val="0"/>
                <w:numId w:val="17"/>
              </w:numPr>
              <w:spacing w:before="120" w:after="120"/>
              <w:ind w:left="284"/>
              <w:contextualSpacing w:val="0"/>
              <w:jc w:val="center"/>
            </w:pPr>
          </w:p>
        </w:tc>
        <w:tc>
          <w:tcPr>
            <w:tcW w:w="1457" w:type="pct"/>
          </w:tcPr>
          <w:p w14:paraId="26D32D1C" w14:textId="77777777" w:rsidR="008B3064" w:rsidRDefault="008B3064" w:rsidP="004074AC">
            <w:pPr>
              <w:spacing w:before="120" w:after="120"/>
              <w:ind w:left="284"/>
              <w:rPr>
                <w:b/>
              </w:rPr>
            </w:pPr>
            <w:r>
              <w:rPr>
                <w:b/>
              </w:rPr>
              <w:t>Starting Proceedings</w:t>
            </w:r>
          </w:p>
          <w:p w14:paraId="0E764C5D" w14:textId="77777777" w:rsidR="003719C4" w:rsidRPr="00A70997" w:rsidRDefault="003719C4" w:rsidP="004074AC">
            <w:pPr>
              <w:spacing w:before="120" w:after="120"/>
              <w:ind w:left="284"/>
              <w:rPr>
                <w:b/>
              </w:rPr>
            </w:pPr>
          </w:p>
        </w:tc>
        <w:tc>
          <w:tcPr>
            <w:tcW w:w="1656" w:type="pct"/>
          </w:tcPr>
          <w:p w14:paraId="6B5C404F" w14:textId="77777777" w:rsidR="008B3064" w:rsidRDefault="008B3064" w:rsidP="004074AC">
            <w:pPr>
              <w:spacing w:before="120" w:after="120"/>
              <w:ind w:left="284"/>
              <w:rPr>
                <w:b/>
              </w:rPr>
            </w:pPr>
            <w:r>
              <w:rPr>
                <w:b/>
              </w:rPr>
              <w:t xml:space="preserve">R 6.2: Originating process </w:t>
            </w:r>
          </w:p>
          <w:p w14:paraId="4D1BFD33" w14:textId="77777777" w:rsidR="008B3064" w:rsidRPr="008B3064" w:rsidRDefault="008B3064" w:rsidP="004074AC">
            <w:pPr>
              <w:pStyle w:val="ListParagraph"/>
              <w:numPr>
                <w:ilvl w:val="0"/>
                <w:numId w:val="18"/>
              </w:numPr>
              <w:spacing w:before="120" w:after="120"/>
              <w:ind w:left="284"/>
              <w:contextualSpacing w:val="0"/>
              <w:rPr>
                <w:b/>
              </w:rPr>
            </w:pPr>
            <w:r>
              <w:t>Statement of claim</w:t>
            </w:r>
            <w:r w:rsidR="007C246C">
              <w:t xml:space="preserve"> (see </w:t>
            </w:r>
            <w:r w:rsidR="007C246C">
              <w:rPr>
                <w:b/>
              </w:rPr>
              <w:t>R 6.3 – where statement of claim required</w:t>
            </w:r>
            <w:r w:rsidR="007C246C">
              <w:t>)</w:t>
            </w:r>
            <w:r>
              <w:t>; or</w:t>
            </w:r>
          </w:p>
          <w:p w14:paraId="45CD79F3" w14:textId="77777777" w:rsidR="00C608CB" w:rsidRPr="00C608CB" w:rsidRDefault="008B3064" w:rsidP="00C608CB">
            <w:pPr>
              <w:pStyle w:val="ListParagraph"/>
              <w:numPr>
                <w:ilvl w:val="0"/>
                <w:numId w:val="18"/>
              </w:numPr>
              <w:spacing w:before="240" w:after="240"/>
              <w:ind w:left="284"/>
              <w:contextualSpacing w:val="0"/>
              <w:rPr>
                <w:b/>
              </w:rPr>
            </w:pPr>
            <w:r>
              <w:t>Summons</w:t>
            </w:r>
            <w:r w:rsidR="007C246C">
              <w:t xml:space="preserve"> (see </w:t>
            </w:r>
            <w:r w:rsidR="007C246C">
              <w:rPr>
                <w:b/>
              </w:rPr>
              <w:t>R 6.4 – where summons required</w:t>
            </w:r>
            <w:r w:rsidR="007C246C">
              <w:t>)</w:t>
            </w:r>
          </w:p>
          <w:p w14:paraId="76CC32BF" w14:textId="77777777" w:rsidR="00C608CB" w:rsidRDefault="00C608CB" w:rsidP="00C608CB">
            <w:pPr>
              <w:pStyle w:val="ListParagraph"/>
              <w:spacing w:before="240" w:after="240"/>
              <w:ind w:left="284"/>
              <w:contextualSpacing w:val="0"/>
              <w:rPr>
                <w:b/>
                <w:u w:val="single"/>
              </w:rPr>
            </w:pPr>
            <w:r>
              <w:rPr>
                <w:b/>
                <w:u w:val="single"/>
              </w:rPr>
              <w:t xml:space="preserve">Matters in the Commercial List or the Technology and Construction </w:t>
            </w:r>
            <w:r w:rsidRPr="0092540D">
              <w:rPr>
                <w:b/>
                <w:u w:val="single"/>
              </w:rPr>
              <w:t xml:space="preserve">List </w:t>
            </w:r>
            <w:r w:rsidR="0092540D" w:rsidRPr="0092540D">
              <w:rPr>
                <w:b/>
                <w:u w:val="single"/>
              </w:rPr>
              <w:t xml:space="preserve">– Supreme Court Equity Division Practice Note SC </w:t>
            </w:r>
            <w:proofErr w:type="spellStart"/>
            <w:r w:rsidR="0092540D" w:rsidRPr="0092540D">
              <w:rPr>
                <w:b/>
                <w:u w:val="single"/>
              </w:rPr>
              <w:t>Eq</w:t>
            </w:r>
            <w:proofErr w:type="spellEnd"/>
            <w:r w:rsidR="0092540D" w:rsidRPr="0092540D">
              <w:rPr>
                <w:b/>
                <w:u w:val="single"/>
              </w:rPr>
              <w:t xml:space="preserve"> 3</w:t>
            </w:r>
          </w:p>
          <w:p w14:paraId="12C3B091" w14:textId="77777777" w:rsidR="00C608CB" w:rsidRDefault="00476022" w:rsidP="00C608CB">
            <w:pPr>
              <w:pStyle w:val="ListParagraph"/>
              <w:spacing w:before="120" w:after="120"/>
              <w:ind w:left="284"/>
              <w:contextualSpacing w:val="0"/>
              <w:rPr>
                <w:b/>
              </w:rPr>
            </w:pPr>
            <w:r>
              <w:rPr>
                <w:b/>
              </w:rPr>
              <w:t>Para</w:t>
            </w:r>
            <w:r w:rsidR="00C608CB">
              <w:rPr>
                <w:b/>
              </w:rPr>
              <w:t xml:space="preserve"> 8 </w:t>
            </w:r>
          </w:p>
          <w:p w14:paraId="785962CB" w14:textId="77777777" w:rsidR="00C608CB" w:rsidRPr="00C608CB" w:rsidRDefault="00C608CB" w:rsidP="00C608CB">
            <w:pPr>
              <w:spacing w:before="120" w:after="120"/>
              <w:ind w:left="284"/>
              <w:rPr>
                <w:rFonts w:eastAsia="Times New Roman" w:cstheme="minorHAnsi"/>
                <w:lang w:eastAsia="en-AU"/>
              </w:rPr>
            </w:pPr>
            <w:r w:rsidRPr="00C608CB">
              <w:rPr>
                <w:rFonts w:cstheme="minorHAnsi"/>
              </w:rPr>
              <w:t xml:space="preserve">A matter in the Commercial List or the Technology and Construction List shall be commenced </w:t>
            </w:r>
            <w:r w:rsidRPr="00C608CB">
              <w:rPr>
                <w:rFonts w:eastAsia="Times New Roman" w:cstheme="minorHAnsi"/>
                <w:lang w:eastAsia="en-AU"/>
              </w:rPr>
              <w:t xml:space="preserve">in the general form of </w:t>
            </w:r>
            <w:r w:rsidRPr="00056DE1">
              <w:rPr>
                <w:rFonts w:eastAsia="Times New Roman" w:cstheme="minorHAnsi"/>
                <w:u w:val="single"/>
                <w:lang w:eastAsia="en-AU"/>
              </w:rPr>
              <w:t>Summons</w:t>
            </w:r>
            <w:r w:rsidRPr="00C608CB">
              <w:rPr>
                <w:rFonts w:eastAsia="Times New Roman" w:cstheme="minorHAnsi"/>
                <w:lang w:eastAsia="en-AU"/>
              </w:rPr>
              <w:t xml:space="preserve"> prescribed under the UCPR. There is to be filed with the Summons a List Statement, for the Commercial List a “Commercial List Statement” and for the Technology and Construction List a “Technology and Construction List Statement”, setting out, in summary form, in the form of Annexure 1: </w:t>
            </w:r>
          </w:p>
          <w:p w14:paraId="183007D3" w14:textId="77777777" w:rsidR="00C608CB" w:rsidRPr="00C608CB" w:rsidRDefault="00C608CB" w:rsidP="00C608CB">
            <w:pPr>
              <w:spacing w:before="120" w:after="120"/>
              <w:ind w:left="720"/>
              <w:rPr>
                <w:rFonts w:eastAsia="Times New Roman" w:cstheme="minorHAnsi"/>
                <w:lang w:eastAsia="en-AU"/>
              </w:rPr>
            </w:pPr>
            <w:r w:rsidRPr="00C608CB">
              <w:rPr>
                <w:rFonts w:eastAsia="Times New Roman" w:cstheme="minorHAnsi"/>
                <w:lang w:eastAsia="en-AU"/>
              </w:rPr>
              <w:t>8.1 the nature of the dispute</w:t>
            </w:r>
            <w:r w:rsidRPr="00C608CB">
              <w:rPr>
                <w:rFonts w:eastAsia="Times New Roman" w:cstheme="minorHAnsi"/>
                <w:lang w:eastAsia="en-AU"/>
              </w:rPr>
              <w:br/>
            </w:r>
            <w:r w:rsidRPr="00C608CB">
              <w:rPr>
                <w:rFonts w:eastAsia="Times New Roman" w:cstheme="minorHAnsi"/>
                <w:lang w:eastAsia="en-AU"/>
              </w:rPr>
              <w:lastRenderedPageBreak/>
              <w:t>8.2 the issues which the plaintiff believes are likely to arise</w:t>
            </w:r>
            <w:r w:rsidRPr="00C608CB">
              <w:rPr>
                <w:rFonts w:eastAsia="Times New Roman" w:cstheme="minorHAnsi"/>
                <w:lang w:eastAsia="en-AU"/>
              </w:rPr>
              <w:br/>
              <w:t>8.3 the plaintiff's contentions</w:t>
            </w:r>
            <w:r w:rsidRPr="00C608CB">
              <w:rPr>
                <w:rFonts w:eastAsia="Times New Roman" w:cstheme="minorHAnsi"/>
                <w:lang w:eastAsia="en-AU"/>
              </w:rPr>
              <w:br/>
              <w:t xml:space="preserve">8.4 the questions (if any) the plaintiff considers are appropriate to be referred to a referee for inquiry and report and </w:t>
            </w:r>
            <w:r w:rsidRPr="00C608CB">
              <w:rPr>
                <w:rFonts w:eastAsia="Times New Roman" w:cstheme="minorHAnsi"/>
                <w:lang w:eastAsia="en-AU"/>
              </w:rPr>
              <w:br/>
              <w:t xml:space="preserve">8.5 a statement as to whether the parties have attempted to mediate </w:t>
            </w:r>
            <w:r w:rsidRPr="00C608CB">
              <w:rPr>
                <w:rFonts w:eastAsia="Times New Roman" w:cstheme="minorHAnsi"/>
                <w:b/>
                <w:bCs/>
                <w:i/>
                <w:iCs/>
                <w:u w:val="single"/>
                <w:lang w:eastAsia="en-AU"/>
              </w:rPr>
              <w:t>and</w:t>
            </w:r>
            <w:r w:rsidRPr="00C608CB">
              <w:rPr>
                <w:rFonts w:eastAsia="Times New Roman" w:cstheme="minorHAnsi"/>
                <w:lang w:eastAsia="en-AU"/>
              </w:rPr>
              <w:t xml:space="preserve"> whether the plaintiff is willing to proceed to mediation at an appropriate time.</w:t>
            </w:r>
          </w:p>
          <w:p w14:paraId="05A8E9B8" w14:textId="77777777" w:rsidR="00C608CB" w:rsidRDefault="00476022" w:rsidP="00C608CB">
            <w:pPr>
              <w:pStyle w:val="ListParagraph"/>
              <w:spacing w:before="120" w:after="120"/>
              <w:ind w:left="284"/>
              <w:contextualSpacing w:val="0"/>
              <w:rPr>
                <w:b/>
              </w:rPr>
            </w:pPr>
            <w:r>
              <w:rPr>
                <w:b/>
              </w:rPr>
              <w:t>Para</w:t>
            </w:r>
            <w:r w:rsidR="00C608CB">
              <w:rPr>
                <w:b/>
              </w:rPr>
              <w:t xml:space="preserve"> 9</w:t>
            </w:r>
          </w:p>
          <w:p w14:paraId="3C1AF6EF" w14:textId="77777777" w:rsidR="00C608CB" w:rsidRPr="00C608CB" w:rsidRDefault="00C608CB" w:rsidP="00C608CB">
            <w:pPr>
              <w:spacing w:before="120" w:after="120"/>
              <w:ind w:left="284"/>
              <w:rPr>
                <w:rFonts w:eastAsia="Times New Roman" w:cstheme="minorHAnsi"/>
                <w:lang w:eastAsia="en-AU"/>
              </w:rPr>
            </w:pPr>
            <w:r w:rsidRPr="00C608CB">
              <w:rPr>
                <w:rFonts w:eastAsia="Times New Roman" w:cstheme="minorHAnsi"/>
                <w:lang w:eastAsia="en-AU"/>
              </w:rPr>
              <w:t xml:space="preserve">The plaintiff's contentions should: </w:t>
            </w:r>
          </w:p>
          <w:p w14:paraId="7180066A" w14:textId="77777777" w:rsidR="00A6647F" w:rsidRPr="00A6647F" w:rsidRDefault="00C608CB" w:rsidP="00A6647F">
            <w:pPr>
              <w:spacing w:before="120" w:after="120"/>
              <w:ind w:left="720"/>
              <w:rPr>
                <w:rFonts w:eastAsia="Times New Roman" w:cstheme="minorHAnsi"/>
                <w:lang w:eastAsia="en-AU"/>
              </w:rPr>
            </w:pPr>
            <w:r w:rsidRPr="00C608CB">
              <w:rPr>
                <w:rFonts w:eastAsia="Times New Roman" w:cstheme="minorHAnsi"/>
                <w:lang w:eastAsia="en-AU"/>
              </w:rPr>
              <w:t>9.1 avoid formality</w:t>
            </w:r>
            <w:r w:rsidRPr="00C608CB">
              <w:rPr>
                <w:rFonts w:eastAsia="Times New Roman" w:cstheme="minorHAnsi"/>
                <w:lang w:eastAsia="en-AU"/>
              </w:rPr>
              <w:br/>
              <w:t xml:space="preserve">9.2 state the allegations the plaintiff makes with adequate particulars and </w:t>
            </w:r>
            <w:r w:rsidRPr="00C608CB">
              <w:rPr>
                <w:rFonts w:eastAsia="Times New Roman" w:cstheme="minorHAnsi"/>
                <w:lang w:eastAsia="en-AU"/>
              </w:rPr>
              <w:br/>
              <w:t xml:space="preserve">9.3 identify the legal grounds for the relief </w:t>
            </w:r>
            <w:r w:rsidRPr="00A6647F">
              <w:rPr>
                <w:rFonts w:eastAsia="Times New Roman" w:cstheme="minorHAnsi"/>
                <w:lang w:eastAsia="en-AU"/>
              </w:rPr>
              <w:t>claimed.</w:t>
            </w:r>
          </w:p>
          <w:p w14:paraId="5782F74F" w14:textId="77777777" w:rsidR="00A6647F" w:rsidRPr="00A6647F" w:rsidRDefault="00A6647F" w:rsidP="00A6647F">
            <w:pPr>
              <w:spacing w:before="120" w:after="120"/>
              <w:ind w:left="284"/>
              <w:rPr>
                <w:rFonts w:eastAsia="Times New Roman" w:cstheme="minorHAnsi"/>
                <w:b/>
                <w:lang w:eastAsia="en-AU"/>
              </w:rPr>
            </w:pPr>
            <w:r w:rsidRPr="00A6647F">
              <w:rPr>
                <w:rFonts w:eastAsia="Times New Roman" w:cstheme="minorHAnsi"/>
                <w:b/>
                <w:lang w:eastAsia="en-AU"/>
              </w:rPr>
              <w:t>Para 15</w:t>
            </w:r>
          </w:p>
          <w:p w14:paraId="565673A1" w14:textId="77777777" w:rsidR="00A6647F" w:rsidRPr="00A6647F" w:rsidRDefault="00A6647F" w:rsidP="00A6647F">
            <w:pPr>
              <w:spacing w:before="120" w:after="120"/>
              <w:ind w:left="284"/>
              <w:rPr>
                <w:rFonts w:cstheme="minorHAnsi"/>
              </w:rPr>
            </w:pPr>
            <w:r w:rsidRPr="00A6647F">
              <w:rPr>
                <w:rFonts w:cstheme="minorHAnsi"/>
              </w:rPr>
              <w:t>Any party moving for an order for entry of any proceedings in either of the Lists shall move by Notice of Motion at the earliest possible time and shall file and serve with the Notice of Motion a relevant List Statement or List Response.</w:t>
            </w:r>
          </w:p>
          <w:p w14:paraId="4D9ED0D6" w14:textId="77777777" w:rsidR="00C608CB" w:rsidRPr="003719C4" w:rsidRDefault="003719C4" w:rsidP="006648C9">
            <w:pPr>
              <w:spacing w:before="120" w:after="120"/>
              <w:ind w:left="284"/>
              <w:rPr>
                <w:rFonts w:cstheme="minorHAnsi"/>
                <w:b/>
              </w:rPr>
            </w:pPr>
            <w:r>
              <w:rPr>
                <w:b/>
                <w:u w:val="single"/>
              </w:rPr>
              <w:t xml:space="preserve">Matters in the Corporations </w:t>
            </w:r>
            <w:r w:rsidRPr="0092540D">
              <w:rPr>
                <w:b/>
                <w:u w:val="single"/>
              </w:rPr>
              <w:t>List – Supreme Court Equit</w:t>
            </w:r>
            <w:r>
              <w:rPr>
                <w:b/>
                <w:u w:val="single"/>
              </w:rPr>
              <w:t xml:space="preserve">y Division Practice Note SC </w:t>
            </w:r>
            <w:proofErr w:type="spellStart"/>
            <w:r>
              <w:rPr>
                <w:b/>
                <w:u w:val="single"/>
              </w:rPr>
              <w:t>Eq</w:t>
            </w:r>
            <w:proofErr w:type="spellEnd"/>
            <w:r>
              <w:rPr>
                <w:b/>
                <w:u w:val="single"/>
              </w:rPr>
              <w:t xml:space="preserve"> 4</w:t>
            </w:r>
          </w:p>
          <w:p w14:paraId="60BE8A6A" w14:textId="77777777" w:rsidR="003719C4" w:rsidRDefault="006648C9" w:rsidP="006648C9">
            <w:pPr>
              <w:pStyle w:val="ListParagraph"/>
              <w:spacing w:before="120" w:after="120"/>
              <w:ind w:left="284"/>
            </w:pPr>
            <w:r>
              <w:t xml:space="preserve">Proceedings under the </w:t>
            </w:r>
            <w:r w:rsidRPr="006648C9">
              <w:rPr>
                <w:i/>
              </w:rPr>
              <w:t>Corporations Act</w:t>
            </w:r>
            <w:r>
              <w:t xml:space="preserve"> 2001 (Cth) (‘Corporations Act’) are usually brought in the Supreme Court or the Federal Court.</w:t>
            </w:r>
          </w:p>
          <w:p w14:paraId="08D0FB33" w14:textId="77777777" w:rsidR="006648C9" w:rsidRDefault="006648C9" w:rsidP="006648C9">
            <w:pPr>
              <w:pStyle w:val="ListParagraph"/>
              <w:spacing w:before="120" w:after="120"/>
              <w:ind w:left="284"/>
            </w:pPr>
          </w:p>
          <w:p w14:paraId="54417C36" w14:textId="77777777" w:rsidR="005659DD" w:rsidRDefault="005659DD" w:rsidP="006648C9">
            <w:pPr>
              <w:pStyle w:val="ListParagraph"/>
              <w:spacing w:before="120" w:after="120"/>
              <w:ind w:left="284"/>
              <w:rPr>
                <w:b/>
              </w:rPr>
            </w:pPr>
          </w:p>
          <w:p w14:paraId="6F4715A8" w14:textId="77777777" w:rsidR="005659DD" w:rsidRDefault="005659DD" w:rsidP="006648C9">
            <w:pPr>
              <w:pStyle w:val="ListParagraph"/>
              <w:spacing w:before="120" w:after="120"/>
              <w:ind w:left="284"/>
              <w:rPr>
                <w:b/>
              </w:rPr>
            </w:pPr>
          </w:p>
          <w:p w14:paraId="1516B968" w14:textId="77777777" w:rsidR="006648C9" w:rsidRPr="006648C9" w:rsidRDefault="006648C9" w:rsidP="006648C9">
            <w:pPr>
              <w:pStyle w:val="ListParagraph"/>
              <w:spacing w:before="120" w:after="120"/>
              <w:ind w:left="284"/>
              <w:rPr>
                <w:rFonts w:cstheme="minorHAnsi"/>
                <w:b/>
              </w:rPr>
            </w:pPr>
            <w:r>
              <w:rPr>
                <w:b/>
              </w:rPr>
              <w:lastRenderedPageBreak/>
              <w:t>Ru</w:t>
            </w:r>
            <w:r w:rsidRPr="006648C9">
              <w:rPr>
                <w:rFonts w:cstheme="minorHAnsi"/>
                <w:b/>
              </w:rPr>
              <w:t>le 2.2 of the Supreme Court (Corporations) Rules 1999 (NSW)</w:t>
            </w:r>
          </w:p>
          <w:p w14:paraId="23D38980" w14:textId="77777777" w:rsidR="006648C9" w:rsidRPr="006648C9" w:rsidRDefault="006648C9" w:rsidP="006648C9">
            <w:pPr>
              <w:pStyle w:val="ListParagraph"/>
              <w:spacing w:before="120" w:after="120"/>
              <w:ind w:left="284"/>
              <w:rPr>
                <w:rFonts w:cstheme="minorHAnsi"/>
                <w:b/>
              </w:rPr>
            </w:pPr>
          </w:p>
          <w:p w14:paraId="054EA841" w14:textId="77777777" w:rsidR="006648C9" w:rsidRPr="006648C9" w:rsidRDefault="006648C9" w:rsidP="006648C9">
            <w:pPr>
              <w:pStyle w:val="ListParagraph"/>
              <w:numPr>
                <w:ilvl w:val="0"/>
                <w:numId w:val="29"/>
              </w:numPr>
              <w:rPr>
                <w:rFonts w:eastAsia="Times New Roman" w:cstheme="minorHAnsi"/>
                <w:lang w:eastAsia="en-AU"/>
              </w:rPr>
            </w:pPr>
            <w:r w:rsidRPr="006648C9">
              <w:rPr>
                <w:rFonts w:eastAsia="Times New Roman" w:cstheme="minorHAnsi"/>
                <w:lang w:eastAsia="en-AU"/>
              </w:rPr>
              <w:t>Unless these Rules otherwise provide, a person must make an application required or permitted by the Corporations Act to be made to the Court:</w:t>
            </w:r>
          </w:p>
          <w:p w14:paraId="3599744B" w14:textId="77777777" w:rsidR="006648C9" w:rsidRPr="006648C9" w:rsidRDefault="006648C9" w:rsidP="006648C9">
            <w:pPr>
              <w:pStyle w:val="ListParagraph"/>
              <w:numPr>
                <w:ilvl w:val="0"/>
                <w:numId w:val="30"/>
              </w:numPr>
              <w:rPr>
                <w:rFonts w:eastAsia="Times New Roman" w:cstheme="minorHAnsi"/>
                <w:lang w:eastAsia="en-AU"/>
              </w:rPr>
            </w:pPr>
            <w:r w:rsidRPr="006648C9">
              <w:rPr>
                <w:rFonts w:eastAsia="Times New Roman" w:cstheme="minorHAnsi"/>
                <w:lang w:eastAsia="en-AU"/>
              </w:rPr>
              <w:t xml:space="preserve">if the application is not made in a proceeding already commenced in the Court—by filing an </w:t>
            </w:r>
            <w:r w:rsidRPr="00F8434D">
              <w:rPr>
                <w:rFonts w:eastAsia="Times New Roman" w:cstheme="minorHAnsi"/>
                <w:b/>
                <w:u w:val="single"/>
                <w:lang w:eastAsia="en-AU"/>
              </w:rPr>
              <w:t>originating process</w:t>
            </w:r>
            <w:r w:rsidRPr="006648C9">
              <w:rPr>
                <w:rFonts w:eastAsia="Times New Roman" w:cstheme="minorHAnsi"/>
                <w:lang w:eastAsia="en-AU"/>
              </w:rPr>
              <w:t>, and</w:t>
            </w:r>
          </w:p>
          <w:p w14:paraId="5B0F414E" w14:textId="77777777" w:rsidR="006648C9" w:rsidRPr="006648C9" w:rsidRDefault="006648C9" w:rsidP="006648C9">
            <w:pPr>
              <w:pStyle w:val="ListParagraph"/>
              <w:numPr>
                <w:ilvl w:val="0"/>
                <w:numId w:val="30"/>
              </w:numPr>
              <w:spacing w:after="100"/>
              <w:rPr>
                <w:rFonts w:eastAsia="Times New Roman" w:cstheme="minorHAnsi"/>
                <w:lang w:eastAsia="en-AU"/>
              </w:rPr>
            </w:pPr>
            <w:proofErr w:type="gramStart"/>
            <w:r w:rsidRPr="006648C9">
              <w:rPr>
                <w:rFonts w:eastAsia="Times New Roman" w:cstheme="minorHAnsi"/>
                <w:lang w:eastAsia="en-AU"/>
              </w:rPr>
              <w:t>in</w:t>
            </w:r>
            <w:proofErr w:type="gramEnd"/>
            <w:r w:rsidRPr="006648C9">
              <w:rPr>
                <w:rFonts w:eastAsia="Times New Roman" w:cstheme="minorHAnsi"/>
                <w:lang w:eastAsia="en-AU"/>
              </w:rPr>
              <w:t xml:space="preserve"> any other case, and whether interlocutory relief or final relief is claimed—by filing an </w:t>
            </w:r>
            <w:r w:rsidRPr="00F8434D">
              <w:rPr>
                <w:rFonts w:eastAsia="Times New Roman" w:cstheme="minorHAnsi"/>
                <w:b/>
                <w:u w:val="single"/>
                <w:lang w:eastAsia="en-AU"/>
              </w:rPr>
              <w:t>interlocutory process</w:t>
            </w:r>
            <w:r w:rsidRPr="006648C9">
              <w:rPr>
                <w:rFonts w:eastAsia="Times New Roman" w:cstheme="minorHAnsi"/>
                <w:lang w:eastAsia="en-AU"/>
              </w:rPr>
              <w:t>.</w:t>
            </w:r>
          </w:p>
          <w:p w14:paraId="734921ED" w14:textId="77777777" w:rsidR="006648C9" w:rsidRPr="006648C9" w:rsidRDefault="006648C9" w:rsidP="006648C9">
            <w:pPr>
              <w:pStyle w:val="ListParagraph"/>
              <w:numPr>
                <w:ilvl w:val="0"/>
                <w:numId w:val="29"/>
              </w:numPr>
              <w:spacing w:after="100"/>
              <w:rPr>
                <w:rFonts w:eastAsia="Times New Roman" w:cstheme="minorHAnsi"/>
                <w:lang w:eastAsia="en-AU"/>
              </w:rPr>
            </w:pPr>
            <w:r w:rsidRPr="006648C9">
              <w:rPr>
                <w:rFonts w:eastAsia="Times New Roman" w:cstheme="minorHAnsi"/>
                <w:lang w:eastAsia="en-AU"/>
              </w:rPr>
              <w:t>Unless the Court otherwise directs, a person may make an application to the Court in relation to a proceeding in respect of which final relief has been granted by filing an interlocutory process in that proceeding.</w:t>
            </w:r>
          </w:p>
          <w:p w14:paraId="57A78412" w14:textId="77777777" w:rsidR="006648C9" w:rsidRPr="006648C9" w:rsidRDefault="006648C9" w:rsidP="006648C9">
            <w:pPr>
              <w:pStyle w:val="ListParagraph"/>
              <w:numPr>
                <w:ilvl w:val="0"/>
                <w:numId w:val="29"/>
              </w:numPr>
              <w:rPr>
                <w:rFonts w:eastAsia="Times New Roman" w:cstheme="minorHAnsi"/>
                <w:lang w:eastAsia="en-AU"/>
              </w:rPr>
            </w:pPr>
            <w:r w:rsidRPr="006648C9">
              <w:rPr>
                <w:rFonts w:eastAsia="Times New Roman" w:cstheme="minorHAnsi"/>
                <w:lang w:eastAsia="en-AU"/>
              </w:rPr>
              <w:t xml:space="preserve">An </w:t>
            </w:r>
            <w:r w:rsidRPr="00F8434D">
              <w:rPr>
                <w:rFonts w:eastAsia="Times New Roman" w:cstheme="minorHAnsi"/>
                <w:b/>
                <w:u w:val="single"/>
                <w:lang w:eastAsia="en-AU"/>
              </w:rPr>
              <w:t>originating process</w:t>
            </w:r>
            <w:r w:rsidRPr="006648C9">
              <w:rPr>
                <w:rFonts w:eastAsia="Times New Roman" w:cstheme="minorHAnsi"/>
                <w:lang w:eastAsia="en-AU"/>
              </w:rPr>
              <w:t xml:space="preserve"> must:</w:t>
            </w:r>
          </w:p>
          <w:p w14:paraId="508293DC" w14:textId="77777777" w:rsidR="006648C9" w:rsidRPr="006648C9" w:rsidRDefault="006648C9" w:rsidP="006648C9">
            <w:pPr>
              <w:pStyle w:val="ListParagraph"/>
              <w:numPr>
                <w:ilvl w:val="0"/>
                <w:numId w:val="32"/>
              </w:numPr>
              <w:rPr>
                <w:rFonts w:eastAsia="Times New Roman" w:cstheme="minorHAnsi"/>
                <w:lang w:eastAsia="en-AU"/>
              </w:rPr>
            </w:pPr>
            <w:r w:rsidRPr="006648C9">
              <w:rPr>
                <w:rFonts w:eastAsia="Times New Roman" w:cstheme="minorHAnsi"/>
                <w:lang w:eastAsia="en-AU"/>
              </w:rPr>
              <w:t xml:space="preserve">be in accordance with </w:t>
            </w:r>
            <w:r w:rsidRPr="00F8434D">
              <w:rPr>
                <w:rFonts w:eastAsia="Times New Roman" w:cstheme="minorHAnsi"/>
                <w:b/>
                <w:u w:val="single"/>
                <w:lang w:eastAsia="en-AU"/>
              </w:rPr>
              <w:t>Form 2</w:t>
            </w:r>
            <w:r w:rsidRPr="006648C9">
              <w:rPr>
                <w:rFonts w:eastAsia="Times New Roman" w:cstheme="minorHAnsi"/>
                <w:lang w:eastAsia="en-AU"/>
              </w:rPr>
              <w:t>, and</w:t>
            </w:r>
          </w:p>
          <w:p w14:paraId="3C6F3949" w14:textId="77777777" w:rsidR="006648C9" w:rsidRPr="006648C9" w:rsidRDefault="006648C9" w:rsidP="006648C9">
            <w:pPr>
              <w:pStyle w:val="ListParagraph"/>
              <w:numPr>
                <w:ilvl w:val="0"/>
                <w:numId w:val="31"/>
              </w:numPr>
              <w:rPr>
                <w:rFonts w:eastAsia="Times New Roman" w:cstheme="minorHAnsi"/>
                <w:lang w:eastAsia="en-AU"/>
              </w:rPr>
            </w:pPr>
            <w:r w:rsidRPr="006648C9">
              <w:rPr>
                <w:rFonts w:eastAsia="Times New Roman" w:cstheme="minorHAnsi"/>
                <w:lang w:eastAsia="en-AU"/>
              </w:rPr>
              <w:t>state:</w:t>
            </w:r>
          </w:p>
          <w:p w14:paraId="11F5819C" w14:textId="77777777" w:rsidR="006648C9" w:rsidRPr="006648C9" w:rsidRDefault="006648C9" w:rsidP="006648C9">
            <w:pPr>
              <w:pStyle w:val="ListParagraph"/>
              <w:numPr>
                <w:ilvl w:val="0"/>
                <w:numId w:val="33"/>
              </w:numPr>
              <w:rPr>
                <w:rFonts w:eastAsia="Times New Roman" w:cstheme="minorHAnsi"/>
                <w:lang w:eastAsia="en-AU"/>
              </w:rPr>
            </w:pPr>
            <w:r w:rsidRPr="006648C9">
              <w:rPr>
                <w:rFonts w:eastAsia="Times New Roman" w:cstheme="minorHAnsi"/>
                <w:lang w:eastAsia="en-AU"/>
              </w:rPr>
              <w:t>each section of the Corporations Act or the ASIC Act, or each regulation of the Corporations Regulations, under which the proceeding is brought, and</w:t>
            </w:r>
          </w:p>
          <w:p w14:paraId="1279FA38" w14:textId="77777777" w:rsidR="006648C9" w:rsidRPr="006648C9" w:rsidRDefault="006648C9" w:rsidP="006648C9">
            <w:pPr>
              <w:spacing w:after="100"/>
              <w:ind w:left="1800"/>
              <w:rPr>
                <w:rFonts w:eastAsia="Times New Roman" w:cstheme="minorHAnsi"/>
                <w:lang w:eastAsia="en-AU"/>
              </w:rPr>
            </w:pPr>
            <w:r w:rsidRPr="006648C9">
              <w:rPr>
                <w:rFonts w:eastAsia="Times New Roman" w:cstheme="minorHAnsi"/>
                <w:lang w:eastAsia="en-AU"/>
              </w:rPr>
              <w:t>(ii</w:t>
            </w:r>
            <w:proofErr w:type="gramStart"/>
            <w:r w:rsidRPr="006648C9">
              <w:rPr>
                <w:rFonts w:eastAsia="Times New Roman" w:cstheme="minorHAnsi"/>
                <w:lang w:eastAsia="en-AU"/>
              </w:rPr>
              <w:t>)  the</w:t>
            </w:r>
            <w:proofErr w:type="gramEnd"/>
            <w:r w:rsidRPr="006648C9">
              <w:rPr>
                <w:rFonts w:eastAsia="Times New Roman" w:cstheme="minorHAnsi"/>
                <w:lang w:eastAsia="en-AU"/>
              </w:rPr>
              <w:t xml:space="preserve"> relief sought.</w:t>
            </w:r>
          </w:p>
          <w:p w14:paraId="6C80E0D3" w14:textId="77777777" w:rsidR="006648C9" w:rsidRPr="006648C9" w:rsidRDefault="006648C9" w:rsidP="006648C9">
            <w:pPr>
              <w:pStyle w:val="ListParagraph"/>
              <w:numPr>
                <w:ilvl w:val="0"/>
                <w:numId w:val="29"/>
              </w:numPr>
              <w:rPr>
                <w:rFonts w:eastAsia="Times New Roman" w:cstheme="minorHAnsi"/>
                <w:lang w:eastAsia="en-AU"/>
              </w:rPr>
            </w:pPr>
            <w:r w:rsidRPr="006648C9">
              <w:rPr>
                <w:rFonts w:eastAsia="Times New Roman" w:cstheme="minorHAnsi"/>
                <w:lang w:eastAsia="en-AU"/>
              </w:rPr>
              <w:lastRenderedPageBreak/>
              <w:t xml:space="preserve">An </w:t>
            </w:r>
            <w:r w:rsidRPr="00F8434D">
              <w:rPr>
                <w:rFonts w:eastAsia="Times New Roman" w:cstheme="minorHAnsi"/>
                <w:b/>
                <w:u w:val="single"/>
                <w:lang w:eastAsia="en-AU"/>
              </w:rPr>
              <w:t>interlocutory process</w:t>
            </w:r>
            <w:r w:rsidRPr="006648C9">
              <w:rPr>
                <w:rFonts w:eastAsia="Times New Roman" w:cstheme="minorHAnsi"/>
                <w:lang w:eastAsia="en-AU"/>
              </w:rPr>
              <w:t xml:space="preserve"> must:</w:t>
            </w:r>
          </w:p>
          <w:p w14:paraId="273DFE7B" w14:textId="77777777" w:rsidR="006648C9" w:rsidRPr="006648C9" w:rsidRDefault="006648C9" w:rsidP="006648C9">
            <w:pPr>
              <w:pStyle w:val="ListParagraph"/>
              <w:numPr>
                <w:ilvl w:val="0"/>
                <w:numId w:val="35"/>
              </w:numPr>
              <w:rPr>
                <w:rFonts w:eastAsia="Times New Roman" w:cstheme="minorHAnsi"/>
                <w:lang w:eastAsia="en-AU"/>
              </w:rPr>
            </w:pPr>
            <w:r w:rsidRPr="006648C9">
              <w:rPr>
                <w:rFonts w:eastAsia="Times New Roman" w:cstheme="minorHAnsi"/>
                <w:lang w:eastAsia="en-AU"/>
              </w:rPr>
              <w:t xml:space="preserve">be in accordance with </w:t>
            </w:r>
            <w:r w:rsidRPr="00F8434D">
              <w:rPr>
                <w:rFonts w:eastAsia="Times New Roman" w:cstheme="minorHAnsi"/>
                <w:b/>
                <w:u w:val="single"/>
                <w:lang w:eastAsia="en-AU"/>
              </w:rPr>
              <w:t>Form 3</w:t>
            </w:r>
            <w:r w:rsidRPr="006648C9">
              <w:rPr>
                <w:rFonts w:eastAsia="Times New Roman" w:cstheme="minorHAnsi"/>
                <w:lang w:eastAsia="en-AU"/>
              </w:rPr>
              <w:t>, and</w:t>
            </w:r>
          </w:p>
          <w:p w14:paraId="10588A08" w14:textId="77777777" w:rsidR="006648C9" w:rsidRPr="006648C9" w:rsidRDefault="006648C9" w:rsidP="006648C9">
            <w:pPr>
              <w:pStyle w:val="ListParagraph"/>
              <w:numPr>
                <w:ilvl w:val="0"/>
                <w:numId w:val="35"/>
              </w:numPr>
              <w:rPr>
                <w:rFonts w:eastAsia="Times New Roman" w:cstheme="minorHAnsi"/>
                <w:lang w:eastAsia="en-AU"/>
              </w:rPr>
            </w:pPr>
            <w:r w:rsidRPr="006648C9">
              <w:rPr>
                <w:rFonts w:eastAsia="Times New Roman" w:cstheme="minorHAnsi"/>
                <w:lang w:eastAsia="en-AU"/>
              </w:rPr>
              <w:t>state:</w:t>
            </w:r>
          </w:p>
          <w:p w14:paraId="2FB4041D" w14:textId="77777777" w:rsidR="006648C9" w:rsidRPr="006648C9" w:rsidRDefault="006648C9" w:rsidP="006648C9">
            <w:pPr>
              <w:pStyle w:val="ListParagraph"/>
              <w:numPr>
                <w:ilvl w:val="0"/>
                <w:numId w:val="36"/>
              </w:numPr>
              <w:rPr>
                <w:rFonts w:eastAsia="Times New Roman" w:cstheme="minorHAnsi"/>
                <w:lang w:eastAsia="en-AU"/>
              </w:rPr>
            </w:pPr>
            <w:r w:rsidRPr="006648C9">
              <w:rPr>
                <w:rFonts w:eastAsia="Times New Roman" w:cstheme="minorHAnsi"/>
                <w:lang w:eastAsia="en-AU"/>
              </w:rPr>
              <w:t>if appropriate, each section of the Corporations Act or the ASIC Act, or each regulation of the Corporations Regulations, or each rule of Court under which the application is made, and</w:t>
            </w:r>
          </w:p>
          <w:p w14:paraId="280E90A6" w14:textId="77777777" w:rsidR="006B713C" w:rsidRPr="00F145FB" w:rsidRDefault="006648C9" w:rsidP="00F145FB">
            <w:pPr>
              <w:spacing w:after="100"/>
              <w:ind w:left="1800"/>
              <w:rPr>
                <w:rFonts w:eastAsia="Times New Roman" w:cstheme="minorHAnsi"/>
                <w:lang w:eastAsia="en-AU"/>
              </w:rPr>
            </w:pPr>
            <w:r w:rsidRPr="006648C9">
              <w:rPr>
                <w:rFonts w:eastAsia="Times New Roman" w:cstheme="minorHAnsi"/>
                <w:lang w:eastAsia="en-AU"/>
              </w:rPr>
              <w:t>(ii</w:t>
            </w:r>
            <w:proofErr w:type="gramStart"/>
            <w:r w:rsidRPr="006648C9">
              <w:rPr>
                <w:rFonts w:eastAsia="Times New Roman" w:cstheme="minorHAnsi"/>
                <w:lang w:eastAsia="en-AU"/>
              </w:rPr>
              <w:t>)  the</w:t>
            </w:r>
            <w:proofErr w:type="gramEnd"/>
            <w:r w:rsidRPr="006648C9">
              <w:rPr>
                <w:rFonts w:eastAsia="Times New Roman" w:cstheme="minorHAnsi"/>
                <w:lang w:eastAsia="en-AU"/>
              </w:rPr>
              <w:t xml:space="preserve"> relief sought.</w:t>
            </w:r>
          </w:p>
        </w:tc>
        <w:tc>
          <w:tcPr>
            <w:tcW w:w="1445" w:type="pct"/>
          </w:tcPr>
          <w:p w14:paraId="51CFE80D" w14:textId="77777777" w:rsidR="008B3064" w:rsidRDefault="008B3064" w:rsidP="004074AC">
            <w:pPr>
              <w:spacing w:before="120" w:after="120"/>
              <w:ind w:left="284"/>
              <w:rPr>
                <w:b/>
              </w:rPr>
            </w:pPr>
            <w:r>
              <w:rPr>
                <w:b/>
              </w:rPr>
              <w:lastRenderedPageBreak/>
              <w:t xml:space="preserve">FCR 8.01(1): </w:t>
            </w:r>
            <w:r w:rsidR="00FD4626">
              <w:rPr>
                <w:b/>
              </w:rPr>
              <w:t xml:space="preserve">Originating </w:t>
            </w:r>
            <w:r>
              <w:rPr>
                <w:b/>
              </w:rPr>
              <w:t>Application</w:t>
            </w:r>
          </w:p>
          <w:p w14:paraId="300619F5" w14:textId="77777777" w:rsidR="008B3064" w:rsidRDefault="008B3064" w:rsidP="004074AC">
            <w:pPr>
              <w:spacing w:before="120" w:after="120"/>
              <w:ind w:left="284"/>
              <w:rPr>
                <w:rStyle w:val="verdana"/>
              </w:rPr>
            </w:pPr>
            <w:r>
              <w:rPr>
                <w:rStyle w:val="verdana"/>
              </w:rPr>
              <w:t xml:space="preserve">A person who wants to start a proceeding in the Court’s original jurisdiction must file an originating application, in accordance with Form 15. </w:t>
            </w:r>
          </w:p>
          <w:p w14:paraId="751EA0AC" w14:textId="77777777" w:rsidR="00137BC1" w:rsidRDefault="00137BC1" w:rsidP="004074AC">
            <w:pPr>
              <w:spacing w:before="120" w:after="120"/>
              <w:ind w:left="284"/>
              <w:rPr>
                <w:rStyle w:val="verdana"/>
              </w:rPr>
            </w:pPr>
            <w:r>
              <w:rPr>
                <w:rStyle w:val="verdana"/>
                <w:b/>
              </w:rPr>
              <w:t>FCR 8.05(1)(a)</w:t>
            </w:r>
          </w:p>
          <w:p w14:paraId="3306CA11" w14:textId="77777777" w:rsidR="00137BC1" w:rsidRDefault="00137BC1" w:rsidP="004074AC">
            <w:pPr>
              <w:spacing w:before="120" w:after="120"/>
              <w:ind w:left="284"/>
              <w:rPr>
                <w:rStyle w:val="verdana"/>
              </w:rPr>
            </w:pPr>
            <w:r>
              <w:rPr>
                <w:rStyle w:val="verdana"/>
              </w:rPr>
              <w:t>An originating application must be accompanied by:</w:t>
            </w:r>
          </w:p>
          <w:p w14:paraId="2682B117" w14:textId="77777777" w:rsidR="00137BC1" w:rsidRPr="007A0614" w:rsidRDefault="00137BC1" w:rsidP="00137BC1">
            <w:pPr>
              <w:pStyle w:val="ListParagraph"/>
              <w:numPr>
                <w:ilvl w:val="0"/>
                <w:numId w:val="21"/>
              </w:numPr>
              <w:spacing w:before="120" w:after="120"/>
              <w:rPr>
                <w:rStyle w:val="verdana"/>
              </w:rPr>
            </w:pPr>
            <w:r w:rsidRPr="00137BC1">
              <w:rPr>
                <w:rStyle w:val="verdana"/>
              </w:rPr>
              <w:t xml:space="preserve">if the applicant seeks relief that </w:t>
            </w:r>
            <w:r w:rsidRPr="007A0614">
              <w:rPr>
                <w:rStyle w:val="verdana"/>
                <w:rFonts w:cstheme="minorHAnsi"/>
              </w:rPr>
              <w:t>includes damages — a statement of claim, in accordance with Form 17; or</w:t>
            </w:r>
          </w:p>
          <w:p w14:paraId="7ED07AB2" w14:textId="77777777" w:rsidR="00137BC1" w:rsidRPr="007A0614" w:rsidRDefault="00137BC1" w:rsidP="00137BC1">
            <w:pPr>
              <w:pStyle w:val="ListParagraph"/>
              <w:numPr>
                <w:ilvl w:val="0"/>
                <w:numId w:val="21"/>
              </w:numPr>
              <w:spacing w:before="120" w:after="120"/>
              <w:rPr>
                <w:rStyle w:val="verdana"/>
              </w:rPr>
            </w:pPr>
            <w:proofErr w:type="gramStart"/>
            <w:r w:rsidRPr="007A0614">
              <w:rPr>
                <w:rStyle w:val="verdana"/>
                <w:rFonts w:cstheme="minorHAnsi"/>
              </w:rPr>
              <w:t>if</w:t>
            </w:r>
            <w:proofErr w:type="gramEnd"/>
            <w:r w:rsidRPr="007A0614">
              <w:rPr>
                <w:rStyle w:val="verdana"/>
                <w:rFonts w:cstheme="minorHAnsi"/>
              </w:rPr>
              <w:t xml:space="preserve"> paragraph (a) does not apply — a statement of claim or an affidavit.</w:t>
            </w:r>
          </w:p>
          <w:p w14:paraId="1EFFF979" w14:textId="77777777" w:rsidR="00A32EF1" w:rsidRPr="007A0614" w:rsidRDefault="00A32EF1" w:rsidP="00A32EF1">
            <w:pPr>
              <w:spacing w:before="120" w:after="120"/>
              <w:rPr>
                <w:rFonts w:cstheme="minorHAnsi"/>
              </w:rPr>
            </w:pPr>
          </w:p>
          <w:p w14:paraId="5D1265B5" w14:textId="77777777" w:rsidR="00A32EF1" w:rsidRPr="007A0614" w:rsidRDefault="00A32EF1" w:rsidP="00A32EF1">
            <w:pPr>
              <w:spacing w:before="120" w:after="120"/>
              <w:ind w:left="311"/>
              <w:rPr>
                <w:rFonts w:cstheme="minorHAnsi"/>
                <w:b/>
                <w:u w:val="single"/>
              </w:rPr>
            </w:pPr>
            <w:r w:rsidRPr="007A0614">
              <w:rPr>
                <w:rFonts w:cstheme="minorHAnsi"/>
                <w:b/>
                <w:u w:val="single"/>
              </w:rPr>
              <w:t>Federal Court Practice Note Corp 1: “Interlocutory Process and Pleadings in Corporations Matters”</w:t>
            </w:r>
          </w:p>
          <w:p w14:paraId="25D4A6EC" w14:textId="77777777" w:rsidR="00A32EF1" w:rsidRPr="007A0614" w:rsidRDefault="00A32EF1" w:rsidP="00A32EF1">
            <w:pPr>
              <w:spacing w:after="60"/>
              <w:ind w:left="360"/>
              <w:rPr>
                <w:rFonts w:cstheme="minorHAnsi"/>
                <w:b/>
                <w:spacing w:val="-8"/>
              </w:rPr>
            </w:pPr>
            <w:r w:rsidRPr="007A0614">
              <w:rPr>
                <w:rFonts w:cstheme="minorHAnsi"/>
                <w:b/>
                <w:spacing w:val="-8"/>
              </w:rPr>
              <w:t xml:space="preserve">Rule 2.2 (1) of the </w:t>
            </w:r>
            <w:r w:rsidRPr="007A0614">
              <w:rPr>
                <w:rFonts w:cstheme="minorHAnsi"/>
                <w:b/>
                <w:i/>
                <w:iCs/>
                <w:spacing w:val="-8"/>
              </w:rPr>
              <w:t>Federal Court (Corporations) Rules 2000</w:t>
            </w:r>
            <w:r w:rsidRPr="007A0614">
              <w:rPr>
                <w:rFonts w:cstheme="minorHAnsi"/>
                <w:i/>
                <w:iCs/>
                <w:spacing w:val="-8"/>
              </w:rPr>
              <w:t xml:space="preserve"> </w:t>
            </w:r>
            <w:r w:rsidRPr="007A0614">
              <w:rPr>
                <w:rFonts w:cstheme="minorHAnsi"/>
                <w:b/>
                <w:spacing w:val="-8"/>
              </w:rPr>
              <w:t xml:space="preserve">(‘Corporations </w:t>
            </w:r>
            <w:r w:rsidRPr="007A0614">
              <w:rPr>
                <w:rFonts w:cstheme="minorHAnsi"/>
                <w:b/>
                <w:spacing w:val="-8"/>
              </w:rPr>
              <w:lastRenderedPageBreak/>
              <w:t xml:space="preserve">Rules’) </w:t>
            </w:r>
          </w:p>
          <w:p w14:paraId="6A14813A" w14:textId="77777777" w:rsidR="00A32EF1" w:rsidRPr="007A0614" w:rsidRDefault="00A32EF1" w:rsidP="00A32EF1">
            <w:pPr>
              <w:spacing w:after="60"/>
              <w:ind w:left="360"/>
              <w:rPr>
                <w:rFonts w:cstheme="minorHAnsi"/>
                <w:spacing w:val="-8"/>
              </w:rPr>
            </w:pPr>
            <w:r w:rsidRPr="007A0614">
              <w:rPr>
                <w:rFonts w:cstheme="minorHAnsi"/>
                <w:spacing w:val="-8"/>
              </w:rPr>
              <w:t xml:space="preserve">Unless these Rules otherwise provide, a person must make an application required or permitted by the Corporations Act to be made to the Court: </w:t>
            </w:r>
          </w:p>
          <w:p w14:paraId="2FAE7194" w14:textId="77777777" w:rsidR="00A32EF1" w:rsidRPr="007A0614" w:rsidRDefault="00A32EF1" w:rsidP="00A32EF1">
            <w:pPr>
              <w:pStyle w:val="ListParagraph"/>
              <w:numPr>
                <w:ilvl w:val="0"/>
                <w:numId w:val="23"/>
              </w:numPr>
              <w:spacing w:after="60"/>
              <w:rPr>
                <w:rFonts w:cstheme="minorHAnsi"/>
                <w:spacing w:val="-8"/>
              </w:rPr>
            </w:pPr>
            <w:r w:rsidRPr="007A0614">
              <w:rPr>
                <w:rFonts w:cstheme="minorHAnsi"/>
                <w:spacing w:val="-8"/>
              </w:rPr>
              <w:t xml:space="preserve">if the application is not made in a proceeding already commenced in the Court - by filing an originating process; and </w:t>
            </w:r>
          </w:p>
          <w:p w14:paraId="5247F6A2" w14:textId="77777777" w:rsidR="00A32EF1" w:rsidRPr="007A0614" w:rsidRDefault="00A32EF1" w:rsidP="00A32EF1">
            <w:pPr>
              <w:pStyle w:val="ListParagraph"/>
              <w:numPr>
                <w:ilvl w:val="0"/>
                <w:numId w:val="23"/>
              </w:numPr>
              <w:spacing w:after="60"/>
              <w:rPr>
                <w:rFonts w:cstheme="minorHAnsi"/>
                <w:spacing w:val="-8"/>
              </w:rPr>
            </w:pPr>
            <w:proofErr w:type="gramStart"/>
            <w:r w:rsidRPr="007A0614">
              <w:rPr>
                <w:rFonts w:cstheme="minorHAnsi"/>
                <w:spacing w:val="-8"/>
              </w:rPr>
              <w:t>in</w:t>
            </w:r>
            <w:proofErr w:type="gramEnd"/>
            <w:r w:rsidRPr="007A0614">
              <w:rPr>
                <w:rFonts w:cstheme="minorHAnsi"/>
                <w:spacing w:val="-8"/>
              </w:rPr>
              <w:t xml:space="preserve"> any other case, </w:t>
            </w:r>
            <w:r w:rsidRPr="007A0614">
              <w:rPr>
                <w:rFonts w:cstheme="minorHAnsi"/>
                <w:b/>
                <w:spacing w:val="-8"/>
              </w:rPr>
              <w:t>and whether interlocutory relief or final relief is claimed</w:t>
            </w:r>
            <w:r w:rsidRPr="007A0614">
              <w:rPr>
                <w:rFonts w:cstheme="minorHAnsi"/>
                <w:spacing w:val="-8"/>
              </w:rPr>
              <w:t xml:space="preserve"> - by filing an interlocutory process.</w:t>
            </w:r>
          </w:p>
          <w:p w14:paraId="2DCD83B6" w14:textId="77777777" w:rsidR="00A32EF1" w:rsidRDefault="002F1478" w:rsidP="00A32EF1">
            <w:pPr>
              <w:spacing w:before="120" w:after="120"/>
              <w:ind w:left="311"/>
              <w:rPr>
                <w:rFonts w:cstheme="minorHAnsi"/>
              </w:rPr>
            </w:pPr>
            <w:r w:rsidRPr="007A0614">
              <w:rPr>
                <w:rFonts w:cstheme="minorHAnsi"/>
              </w:rPr>
              <w:t>[This makes clear that</w:t>
            </w:r>
            <w:r w:rsidR="00277E1C" w:rsidRPr="007A0614">
              <w:rPr>
                <w:rFonts w:cstheme="minorHAnsi"/>
              </w:rPr>
              <w:t xml:space="preserve"> the form of interlocutory process under the R</w:t>
            </w:r>
            <w:r w:rsidR="00F8434D">
              <w:rPr>
                <w:rFonts w:cstheme="minorHAnsi"/>
              </w:rPr>
              <w:t>ules</w:t>
            </w:r>
            <w:r w:rsidR="00277E1C" w:rsidRPr="007A0614">
              <w:rPr>
                <w:rFonts w:cstheme="minorHAnsi"/>
              </w:rPr>
              <w:t xml:space="preserve"> (Form 3) is required to be used where </w:t>
            </w:r>
            <w:proofErr w:type="spellStart"/>
            <w:r w:rsidR="00277E1C" w:rsidRPr="007A0614">
              <w:rPr>
                <w:rFonts w:cstheme="minorHAnsi"/>
              </w:rPr>
              <w:t>subpara</w:t>
            </w:r>
            <w:proofErr w:type="spellEnd"/>
            <w:r w:rsidR="00277E1C" w:rsidRPr="007A0614">
              <w:rPr>
                <w:rFonts w:cstheme="minorHAnsi"/>
              </w:rPr>
              <w:t xml:space="preserve"> 2.2(1)(b)</w:t>
            </w:r>
            <w:r w:rsidRPr="007A0614">
              <w:rPr>
                <w:rFonts w:cstheme="minorHAnsi"/>
              </w:rPr>
              <w:t xml:space="preserve"> applies, even where </w:t>
            </w:r>
            <w:proofErr w:type="gramStart"/>
            <w:r w:rsidRPr="007A0614">
              <w:rPr>
                <w:rFonts w:cstheme="minorHAnsi"/>
              </w:rPr>
              <w:t>final  relief</w:t>
            </w:r>
            <w:proofErr w:type="gramEnd"/>
            <w:r w:rsidRPr="007A0614">
              <w:rPr>
                <w:rFonts w:cstheme="minorHAnsi"/>
              </w:rPr>
              <w:t xml:space="preserve"> is claimed.]</w:t>
            </w:r>
          </w:p>
          <w:p w14:paraId="4042B54F" w14:textId="77777777" w:rsidR="007A0614" w:rsidRPr="00277E1C" w:rsidRDefault="007A0614" w:rsidP="00A32EF1">
            <w:pPr>
              <w:spacing w:before="120" w:after="120"/>
              <w:ind w:left="311"/>
            </w:pPr>
          </w:p>
        </w:tc>
      </w:tr>
      <w:tr w:rsidR="00EC0470" w14:paraId="40BE6DA0" w14:textId="77777777">
        <w:tc>
          <w:tcPr>
            <w:tcW w:w="442" w:type="pct"/>
          </w:tcPr>
          <w:p w14:paraId="5B06FAA4" w14:textId="77777777" w:rsidR="00EC0470" w:rsidRDefault="00EC0470" w:rsidP="004074AC">
            <w:pPr>
              <w:pStyle w:val="ListParagraph"/>
              <w:numPr>
                <w:ilvl w:val="0"/>
                <w:numId w:val="17"/>
              </w:numPr>
              <w:spacing w:before="120" w:after="120"/>
              <w:ind w:left="284"/>
              <w:contextualSpacing w:val="0"/>
              <w:jc w:val="center"/>
            </w:pPr>
          </w:p>
        </w:tc>
        <w:tc>
          <w:tcPr>
            <w:tcW w:w="1457" w:type="pct"/>
          </w:tcPr>
          <w:p w14:paraId="35CA51ED" w14:textId="77777777" w:rsidR="00EC0470" w:rsidRPr="00EC0470" w:rsidRDefault="00EC0470" w:rsidP="004074AC">
            <w:pPr>
              <w:spacing w:before="120" w:after="120"/>
              <w:ind w:left="284"/>
              <w:rPr>
                <w:rFonts w:cstheme="minorHAnsi"/>
                <w:b/>
              </w:rPr>
            </w:pPr>
            <w:r w:rsidRPr="00EC0470">
              <w:rPr>
                <w:rFonts w:cstheme="minorHAnsi"/>
                <w:b/>
              </w:rPr>
              <w:t>Form</w:t>
            </w:r>
          </w:p>
          <w:p w14:paraId="2DB5BD9A" w14:textId="77777777" w:rsidR="00EC0470" w:rsidRPr="00EC0470" w:rsidRDefault="00EC0470" w:rsidP="004074AC">
            <w:pPr>
              <w:spacing w:before="120" w:after="120"/>
              <w:ind w:left="284"/>
              <w:rPr>
                <w:rFonts w:cstheme="minorHAnsi"/>
              </w:rPr>
            </w:pPr>
            <w:r w:rsidRPr="00EC0470">
              <w:rPr>
                <w:rFonts w:cstheme="minorHAnsi"/>
              </w:rPr>
              <w:t>Paragraphing</w:t>
            </w:r>
          </w:p>
        </w:tc>
        <w:tc>
          <w:tcPr>
            <w:tcW w:w="1656" w:type="pct"/>
          </w:tcPr>
          <w:p w14:paraId="303781E1" w14:textId="77777777" w:rsidR="00EC0470" w:rsidRPr="00EC0470" w:rsidRDefault="00EC0470" w:rsidP="004074AC">
            <w:pPr>
              <w:spacing w:before="120" w:after="120"/>
              <w:ind w:left="284"/>
              <w:rPr>
                <w:rFonts w:cstheme="minorHAnsi"/>
                <w:b/>
              </w:rPr>
            </w:pPr>
            <w:r w:rsidRPr="00EC0470">
              <w:rPr>
                <w:rFonts w:cstheme="minorHAnsi"/>
                <w:b/>
              </w:rPr>
              <w:t>R 14.6</w:t>
            </w:r>
          </w:p>
          <w:p w14:paraId="5C7E72C6" w14:textId="77777777" w:rsidR="00EC0470" w:rsidRPr="00EC0470" w:rsidRDefault="00EC0470" w:rsidP="004074AC">
            <w:pPr>
              <w:spacing w:before="120" w:after="120"/>
              <w:ind w:left="284"/>
              <w:rPr>
                <w:rFonts w:eastAsia="Times New Roman" w:cstheme="minorHAnsi"/>
                <w:lang w:eastAsia="en-AU"/>
              </w:rPr>
            </w:pPr>
            <w:r w:rsidRPr="00EC0470">
              <w:rPr>
                <w:rFonts w:eastAsia="Times New Roman" w:cstheme="minorHAnsi"/>
                <w:lang w:eastAsia="en-AU"/>
              </w:rPr>
              <w:t>If a pleading alleges or otherwise deals with several matters:</w:t>
            </w:r>
          </w:p>
          <w:p w14:paraId="7A05EE31" w14:textId="77777777" w:rsidR="00EC0470" w:rsidRPr="00EC0470" w:rsidRDefault="00EC0470" w:rsidP="004074AC">
            <w:pPr>
              <w:spacing w:before="120" w:after="120"/>
              <w:ind w:left="284"/>
              <w:rPr>
                <w:rFonts w:eastAsia="Times New Roman" w:cstheme="minorHAnsi"/>
                <w:lang w:eastAsia="en-AU"/>
              </w:rPr>
            </w:pPr>
            <w:bookmarkStart w:id="1" w:name="UCPN.UCPR.UCPRN05.R14-6.A"/>
            <w:bookmarkEnd w:id="1"/>
            <w:r w:rsidRPr="00EC0470">
              <w:rPr>
                <w:rFonts w:eastAsia="Times New Roman" w:cstheme="minorHAnsi"/>
                <w:lang w:eastAsia="en-AU"/>
              </w:rPr>
              <w:t>(a) the pleading must be divided into paragraphs, and</w:t>
            </w:r>
          </w:p>
          <w:p w14:paraId="508FCCF4" w14:textId="77777777" w:rsidR="00EC0470" w:rsidRPr="00EC0470" w:rsidRDefault="00EC0470" w:rsidP="004074AC">
            <w:pPr>
              <w:spacing w:before="120" w:after="120"/>
              <w:ind w:left="284"/>
              <w:rPr>
                <w:rFonts w:eastAsia="Times New Roman" w:cstheme="minorHAnsi"/>
                <w:lang w:eastAsia="en-AU"/>
              </w:rPr>
            </w:pPr>
            <w:bookmarkStart w:id="2" w:name="UCPN.UCPR.UCPRN05.R14-6.B"/>
            <w:bookmarkEnd w:id="2"/>
            <w:r w:rsidRPr="00EC0470">
              <w:rPr>
                <w:rFonts w:eastAsia="Times New Roman" w:cstheme="minorHAnsi"/>
                <w:lang w:eastAsia="en-AU"/>
              </w:rPr>
              <w:t>(b) each matter must, so far as convenient, be put in a separate paragraph, and</w:t>
            </w:r>
          </w:p>
          <w:p w14:paraId="37B68FEC" w14:textId="77777777" w:rsidR="00EC0470" w:rsidRPr="00AD2E94" w:rsidRDefault="00EC0470" w:rsidP="00AD2E94">
            <w:pPr>
              <w:spacing w:before="120" w:after="120"/>
              <w:ind w:left="284"/>
              <w:rPr>
                <w:rFonts w:eastAsia="Times New Roman" w:cstheme="minorHAnsi"/>
                <w:lang w:eastAsia="en-AU"/>
              </w:rPr>
            </w:pPr>
            <w:bookmarkStart w:id="3" w:name="UCPN.UCPR.UCPRN05.R14-6.C"/>
            <w:bookmarkEnd w:id="3"/>
            <w:r w:rsidRPr="00EC0470">
              <w:rPr>
                <w:rFonts w:eastAsia="Times New Roman" w:cstheme="minorHAnsi"/>
                <w:lang w:eastAsia="en-AU"/>
              </w:rPr>
              <w:t>(c) </w:t>
            </w:r>
            <w:proofErr w:type="gramStart"/>
            <w:r w:rsidRPr="00EC0470">
              <w:rPr>
                <w:rFonts w:eastAsia="Times New Roman" w:cstheme="minorHAnsi"/>
                <w:lang w:eastAsia="en-AU"/>
              </w:rPr>
              <w:t>the</w:t>
            </w:r>
            <w:proofErr w:type="gramEnd"/>
            <w:r w:rsidRPr="00EC0470">
              <w:rPr>
                <w:rFonts w:eastAsia="Times New Roman" w:cstheme="minorHAnsi"/>
                <w:lang w:eastAsia="en-AU"/>
              </w:rPr>
              <w:t xml:space="preserve"> paragraphs </w:t>
            </w:r>
            <w:r w:rsidR="00AD2E94">
              <w:rPr>
                <w:rFonts w:eastAsia="Times New Roman" w:cstheme="minorHAnsi"/>
                <w:lang w:eastAsia="en-AU"/>
              </w:rPr>
              <w:t>must be numbered consecutively.</w:t>
            </w:r>
          </w:p>
        </w:tc>
        <w:tc>
          <w:tcPr>
            <w:tcW w:w="1445" w:type="pct"/>
          </w:tcPr>
          <w:p w14:paraId="71BC1E0F" w14:textId="77777777" w:rsidR="00EC0470" w:rsidRDefault="00A70997" w:rsidP="004074AC">
            <w:pPr>
              <w:spacing w:before="120" w:after="120"/>
              <w:ind w:left="284"/>
              <w:rPr>
                <w:b/>
              </w:rPr>
            </w:pPr>
            <w:r>
              <w:rPr>
                <w:b/>
              </w:rPr>
              <w:t>FCR 16.02(1)(a)</w:t>
            </w:r>
          </w:p>
          <w:p w14:paraId="58DA10AC" w14:textId="77777777" w:rsidR="00A70997" w:rsidRPr="00A70997" w:rsidRDefault="00A70997" w:rsidP="004074AC">
            <w:pPr>
              <w:spacing w:before="120" w:after="120"/>
              <w:ind w:left="284"/>
            </w:pPr>
            <w:r>
              <w:t xml:space="preserve">A pleading must be divided into consecutively numbered paragraphs, each, as far as practicable, dealing with a separate matter. </w:t>
            </w:r>
          </w:p>
        </w:tc>
      </w:tr>
      <w:tr w:rsidR="00427068" w14:paraId="26EACF0D" w14:textId="77777777">
        <w:tc>
          <w:tcPr>
            <w:tcW w:w="442" w:type="pct"/>
          </w:tcPr>
          <w:p w14:paraId="6480767A" w14:textId="77777777" w:rsidR="00427068" w:rsidRDefault="00427068" w:rsidP="004074AC">
            <w:pPr>
              <w:pStyle w:val="ListParagraph"/>
              <w:numPr>
                <w:ilvl w:val="0"/>
                <w:numId w:val="17"/>
              </w:numPr>
              <w:spacing w:before="120" w:after="120"/>
              <w:ind w:left="284"/>
              <w:contextualSpacing w:val="0"/>
              <w:jc w:val="center"/>
            </w:pPr>
          </w:p>
        </w:tc>
        <w:tc>
          <w:tcPr>
            <w:tcW w:w="1457" w:type="pct"/>
          </w:tcPr>
          <w:p w14:paraId="2F4E20FB" w14:textId="77777777" w:rsidR="00427068" w:rsidRPr="006F5987" w:rsidRDefault="00427068" w:rsidP="004074AC">
            <w:pPr>
              <w:spacing w:before="120" w:after="120"/>
              <w:ind w:left="284"/>
            </w:pPr>
            <w:r>
              <w:rPr>
                <w:b/>
              </w:rPr>
              <w:t>Identifying material facts</w:t>
            </w:r>
          </w:p>
          <w:p w14:paraId="6353FDEB" w14:textId="77777777" w:rsidR="00427068" w:rsidRDefault="00427068" w:rsidP="004074AC">
            <w:pPr>
              <w:pStyle w:val="ListParagraph"/>
              <w:numPr>
                <w:ilvl w:val="0"/>
                <w:numId w:val="6"/>
              </w:numPr>
              <w:spacing w:before="120" w:after="120"/>
              <w:ind w:left="284"/>
              <w:contextualSpacing w:val="0"/>
            </w:pPr>
            <w:r>
              <w:t>Material facts only. The plaintiff must plead the facts it will rely upon at the hearing. For the court to grant the relief sought the plaintiff must establish those facts at the hearing with the evidence.</w:t>
            </w:r>
          </w:p>
          <w:p w14:paraId="28411E2D" w14:textId="77777777" w:rsidR="00427068" w:rsidRPr="008B3064" w:rsidRDefault="00427068" w:rsidP="004074AC">
            <w:pPr>
              <w:pStyle w:val="ListParagraph"/>
              <w:numPr>
                <w:ilvl w:val="0"/>
                <w:numId w:val="6"/>
              </w:numPr>
              <w:spacing w:before="120" w:after="120"/>
              <w:ind w:left="284"/>
              <w:contextualSpacing w:val="0"/>
              <w:rPr>
                <w:rFonts w:cstheme="minorHAnsi"/>
                <w:b/>
              </w:rPr>
            </w:pPr>
            <w:r>
              <w:t>All the material facts relied on</w:t>
            </w:r>
          </w:p>
        </w:tc>
        <w:tc>
          <w:tcPr>
            <w:tcW w:w="1656" w:type="pct"/>
          </w:tcPr>
          <w:p w14:paraId="652F7D36" w14:textId="77777777" w:rsidR="00427068" w:rsidRDefault="00427068" w:rsidP="004074AC">
            <w:pPr>
              <w:spacing w:before="120" w:after="120"/>
              <w:ind w:left="284"/>
            </w:pPr>
            <w:r>
              <w:t xml:space="preserve">If the plaintiff does not include all the material facts, the pleading may not disclose a cause of action. </w:t>
            </w:r>
          </w:p>
          <w:p w14:paraId="69E36ACA" w14:textId="77777777" w:rsidR="00427068" w:rsidRDefault="00427068" w:rsidP="004074AC">
            <w:pPr>
              <w:spacing w:before="120" w:after="120"/>
              <w:ind w:left="284"/>
            </w:pPr>
            <w:r>
              <w:t xml:space="preserve">Also, facts that are not </w:t>
            </w:r>
            <w:proofErr w:type="gramStart"/>
            <w:r>
              <w:t>pleaded,</w:t>
            </w:r>
            <w:proofErr w:type="gramEnd"/>
            <w:r>
              <w:t xml:space="preserve"> may not be able to be raised at the hearing by the plaintiff. </w:t>
            </w:r>
          </w:p>
          <w:p w14:paraId="5484AFFB" w14:textId="77777777" w:rsidR="00427068" w:rsidRPr="00EC0470" w:rsidRDefault="00427068" w:rsidP="004074AC">
            <w:pPr>
              <w:spacing w:before="120" w:after="120"/>
              <w:ind w:left="284"/>
              <w:rPr>
                <w:rFonts w:cstheme="minorHAnsi"/>
                <w:b/>
              </w:rPr>
            </w:pPr>
            <w:r>
              <w:t xml:space="preserve">If the pleading does not disclose a cause of action, the action will fail. See </w:t>
            </w:r>
            <w:r>
              <w:rPr>
                <w:b/>
              </w:rPr>
              <w:t>R 14.28</w:t>
            </w:r>
          </w:p>
        </w:tc>
        <w:tc>
          <w:tcPr>
            <w:tcW w:w="1445" w:type="pct"/>
          </w:tcPr>
          <w:p w14:paraId="01601FE8" w14:textId="77777777" w:rsidR="00427068" w:rsidRDefault="00427068" w:rsidP="004074AC">
            <w:pPr>
              <w:spacing w:before="120" w:after="120"/>
              <w:ind w:left="284"/>
              <w:rPr>
                <w:b/>
              </w:rPr>
            </w:pPr>
            <w:r w:rsidRPr="00A70997">
              <w:rPr>
                <w:b/>
              </w:rPr>
              <w:t xml:space="preserve">FCR </w:t>
            </w:r>
            <w:r>
              <w:rPr>
                <w:b/>
              </w:rPr>
              <w:t>16.02(1)(c)</w:t>
            </w:r>
          </w:p>
          <w:p w14:paraId="5FB4B416" w14:textId="77777777" w:rsidR="00427068" w:rsidRPr="00A70997" w:rsidRDefault="00427068" w:rsidP="004074AC">
            <w:pPr>
              <w:spacing w:before="120" w:after="120"/>
              <w:ind w:left="284"/>
            </w:pPr>
            <w:r>
              <w:t>A pleading must identify the issues that the party wants the Court to resolve.</w:t>
            </w:r>
          </w:p>
          <w:p w14:paraId="326DA1A9" w14:textId="77777777" w:rsidR="00427068" w:rsidRDefault="00427068" w:rsidP="004074AC">
            <w:pPr>
              <w:spacing w:before="120" w:after="120"/>
              <w:ind w:left="284"/>
              <w:rPr>
                <w:b/>
              </w:rPr>
            </w:pPr>
            <w:r w:rsidRPr="00A70997">
              <w:rPr>
                <w:b/>
              </w:rPr>
              <w:t xml:space="preserve">FCR </w:t>
            </w:r>
            <w:r>
              <w:rPr>
                <w:b/>
              </w:rPr>
              <w:t>16.02(1)(d)</w:t>
            </w:r>
          </w:p>
          <w:p w14:paraId="32DFA464" w14:textId="77777777" w:rsidR="00427068" w:rsidRPr="00A70997" w:rsidRDefault="00427068" w:rsidP="004074AC">
            <w:pPr>
              <w:spacing w:before="120" w:after="120"/>
              <w:ind w:left="284"/>
            </w:pPr>
            <w:r>
              <w:t xml:space="preserve">A pleading must state the material facts on which a party relies that are necessary to give the opposing party fair notice of the case to be made against that party at </w:t>
            </w:r>
            <w:r>
              <w:lastRenderedPageBreak/>
              <w:t>trial, but not the evidence by which the material facts are to be proved.</w:t>
            </w:r>
          </w:p>
          <w:p w14:paraId="48B25B8E" w14:textId="77777777" w:rsidR="008B3064" w:rsidRDefault="008B3064" w:rsidP="004074AC">
            <w:pPr>
              <w:spacing w:before="120" w:after="120"/>
              <w:ind w:left="284"/>
              <w:rPr>
                <w:b/>
              </w:rPr>
            </w:pPr>
          </w:p>
          <w:p w14:paraId="7D6F3E82" w14:textId="77777777" w:rsidR="00427068" w:rsidRDefault="00427068" w:rsidP="004074AC">
            <w:pPr>
              <w:spacing w:before="120" w:after="120"/>
              <w:ind w:left="284"/>
              <w:rPr>
                <w:b/>
              </w:rPr>
            </w:pPr>
            <w:r>
              <w:rPr>
                <w:b/>
              </w:rPr>
              <w:t xml:space="preserve">FCR </w:t>
            </w:r>
            <w:r w:rsidRPr="00A70997">
              <w:rPr>
                <w:b/>
              </w:rPr>
              <w:t>16.21(1)(e)</w:t>
            </w:r>
          </w:p>
          <w:p w14:paraId="2FBDFEF5" w14:textId="77777777" w:rsidR="008B3064" w:rsidRDefault="008B3064" w:rsidP="004074AC">
            <w:pPr>
              <w:spacing w:before="120" w:after="120"/>
              <w:ind w:left="284"/>
              <w:rPr>
                <w:b/>
              </w:rPr>
            </w:pPr>
            <w:r>
              <w:rPr>
                <w:rStyle w:val="verdana"/>
              </w:rPr>
              <w:t>A party may apply to the Court for an order that all or part of a pleading be struck out on the ground that the pleading</w:t>
            </w:r>
            <w:r>
              <w:t xml:space="preserve"> </w:t>
            </w:r>
            <w:r>
              <w:rPr>
                <w:rStyle w:val="verdana"/>
              </w:rPr>
              <w:t>fails to disclose a reasonable cause of action or defence or other case appropriate to the nature of the pleading.</w:t>
            </w:r>
          </w:p>
        </w:tc>
      </w:tr>
      <w:tr w:rsidR="00427068" w14:paraId="0D003FCC" w14:textId="77777777">
        <w:tc>
          <w:tcPr>
            <w:tcW w:w="442" w:type="pct"/>
          </w:tcPr>
          <w:p w14:paraId="1915FB98" w14:textId="77777777" w:rsidR="00427068" w:rsidRDefault="00427068" w:rsidP="004074AC">
            <w:pPr>
              <w:pStyle w:val="ListParagraph"/>
              <w:numPr>
                <w:ilvl w:val="0"/>
                <w:numId w:val="17"/>
              </w:numPr>
              <w:spacing w:before="120" w:after="120"/>
              <w:ind w:left="284"/>
              <w:contextualSpacing w:val="0"/>
              <w:jc w:val="center"/>
            </w:pPr>
          </w:p>
        </w:tc>
        <w:tc>
          <w:tcPr>
            <w:tcW w:w="1457" w:type="pct"/>
          </w:tcPr>
          <w:p w14:paraId="7B61AFD6" w14:textId="77777777" w:rsidR="00427068" w:rsidRPr="006F5987" w:rsidRDefault="00427068" w:rsidP="004074AC">
            <w:pPr>
              <w:spacing w:before="120" w:after="120"/>
              <w:ind w:left="284"/>
              <w:rPr>
                <w:b/>
              </w:rPr>
            </w:pPr>
            <w:r>
              <w:rPr>
                <w:b/>
              </w:rPr>
              <w:t>Distinguishing facts from evidence</w:t>
            </w:r>
          </w:p>
          <w:p w14:paraId="6DA398BB" w14:textId="77777777" w:rsidR="00427068" w:rsidRDefault="00427068" w:rsidP="004074AC">
            <w:pPr>
              <w:spacing w:before="120" w:after="120"/>
              <w:ind w:left="284"/>
              <w:rPr>
                <w:b/>
              </w:rPr>
            </w:pPr>
            <w:r>
              <w:t>The material facts relied on, but not the evidence by which they are to be proved</w:t>
            </w:r>
          </w:p>
        </w:tc>
        <w:tc>
          <w:tcPr>
            <w:tcW w:w="1656" w:type="pct"/>
          </w:tcPr>
          <w:p w14:paraId="38271EAB" w14:textId="77777777" w:rsidR="00427068" w:rsidRPr="008507DB" w:rsidRDefault="00427068" w:rsidP="004074AC">
            <w:pPr>
              <w:spacing w:before="120" w:after="120"/>
              <w:ind w:left="284"/>
              <w:rPr>
                <w:b/>
              </w:rPr>
            </w:pPr>
            <w:r w:rsidRPr="008507DB">
              <w:rPr>
                <w:b/>
              </w:rPr>
              <w:t xml:space="preserve">R 14.7 </w:t>
            </w:r>
          </w:p>
          <w:p w14:paraId="4FD04CC7" w14:textId="77777777" w:rsidR="00427068" w:rsidRDefault="00427068" w:rsidP="004074AC">
            <w:pPr>
              <w:spacing w:before="120" w:after="120"/>
              <w:ind w:left="284"/>
            </w:pPr>
            <w:r>
              <w:t>Subject to Parts 6, 14 and 15 of the UCPR, a party’s pleading must contain only a summary of the material facts on which the party relies, and not the evidence by which those facts are proved.</w:t>
            </w:r>
          </w:p>
          <w:p w14:paraId="051E5326" w14:textId="77777777" w:rsidR="00427068" w:rsidRDefault="00427068" w:rsidP="004074AC">
            <w:pPr>
              <w:spacing w:before="120" w:after="120"/>
              <w:ind w:left="284"/>
            </w:pPr>
            <w:r>
              <w:t>[Parts 6, 14 and 15 of the UCPR specify additional information required to be pleaded in the originating process concerning specific claims such as defamation or allegations of fraud]</w:t>
            </w:r>
          </w:p>
          <w:p w14:paraId="77689F02" w14:textId="77777777" w:rsidR="00427068" w:rsidRDefault="00427068" w:rsidP="004074AC">
            <w:pPr>
              <w:spacing w:before="120" w:after="120"/>
              <w:ind w:left="284"/>
            </w:pPr>
            <w:r>
              <w:t>However:</w:t>
            </w:r>
          </w:p>
          <w:p w14:paraId="03A91780" w14:textId="77777777" w:rsidR="00427068" w:rsidRDefault="00427068" w:rsidP="004074AC">
            <w:pPr>
              <w:spacing w:before="120" w:after="120"/>
              <w:ind w:left="284"/>
              <w:rPr>
                <w:b/>
              </w:rPr>
            </w:pPr>
            <w:r>
              <w:rPr>
                <w:b/>
              </w:rPr>
              <w:t>R 14.10 Certain facts need not be pleaded</w:t>
            </w:r>
          </w:p>
          <w:p w14:paraId="08F74213" w14:textId="77777777" w:rsidR="00427068" w:rsidRDefault="00427068" w:rsidP="004074AC">
            <w:pPr>
              <w:spacing w:before="120" w:after="120"/>
              <w:ind w:left="284"/>
            </w:pPr>
            <w:r>
              <w:t>A party need not plead a fact if:</w:t>
            </w:r>
          </w:p>
          <w:p w14:paraId="10AE8BB4" w14:textId="77777777" w:rsidR="00427068" w:rsidRDefault="00427068" w:rsidP="004074AC">
            <w:pPr>
              <w:pStyle w:val="ListParagraph"/>
              <w:numPr>
                <w:ilvl w:val="0"/>
                <w:numId w:val="9"/>
              </w:numPr>
              <w:spacing w:before="120" w:after="120"/>
              <w:ind w:left="284"/>
              <w:contextualSpacing w:val="0"/>
            </w:pPr>
            <w:r>
              <w:t>The fact is presumed by law to be true, or</w:t>
            </w:r>
          </w:p>
          <w:p w14:paraId="13321FBB" w14:textId="77777777" w:rsidR="00427068" w:rsidRDefault="00427068" w:rsidP="004074AC">
            <w:pPr>
              <w:pStyle w:val="ListParagraph"/>
              <w:numPr>
                <w:ilvl w:val="0"/>
                <w:numId w:val="9"/>
              </w:numPr>
              <w:spacing w:before="120" w:after="120"/>
              <w:ind w:left="284"/>
              <w:contextualSpacing w:val="0"/>
            </w:pPr>
            <w:r>
              <w:t>The burden of disproving the fact lies on the opposite party,</w:t>
            </w:r>
          </w:p>
          <w:p w14:paraId="04F80A46" w14:textId="77777777" w:rsidR="00427068" w:rsidRDefault="00427068" w:rsidP="004074AC">
            <w:pPr>
              <w:spacing w:before="120" w:after="120"/>
              <w:ind w:left="284"/>
            </w:pPr>
            <w:r>
              <w:t xml:space="preserve">Except so far as may be necessary to meet a specific denial of that fact by another party’s </w:t>
            </w:r>
            <w:r>
              <w:lastRenderedPageBreak/>
              <w:t>pleading.</w:t>
            </w:r>
          </w:p>
        </w:tc>
        <w:tc>
          <w:tcPr>
            <w:tcW w:w="1445" w:type="pct"/>
          </w:tcPr>
          <w:p w14:paraId="3AAEE1E4" w14:textId="77777777" w:rsidR="00427068" w:rsidRDefault="00427068" w:rsidP="004074AC">
            <w:pPr>
              <w:spacing w:before="120" w:after="120"/>
              <w:ind w:left="284"/>
              <w:rPr>
                <w:b/>
              </w:rPr>
            </w:pPr>
            <w:r w:rsidRPr="00A70997">
              <w:rPr>
                <w:b/>
              </w:rPr>
              <w:lastRenderedPageBreak/>
              <w:t xml:space="preserve">FCR </w:t>
            </w:r>
            <w:r>
              <w:rPr>
                <w:b/>
              </w:rPr>
              <w:t>16.02(1)(c)</w:t>
            </w:r>
          </w:p>
          <w:p w14:paraId="621CC616" w14:textId="77777777" w:rsidR="00427068" w:rsidRPr="00A70997" w:rsidRDefault="00427068" w:rsidP="004074AC">
            <w:pPr>
              <w:spacing w:before="120" w:after="120"/>
              <w:ind w:left="284"/>
            </w:pPr>
            <w:r>
              <w:t>A pleading must identify the issues that the party wants the Court to resolve.</w:t>
            </w:r>
          </w:p>
          <w:p w14:paraId="04E8272B" w14:textId="77777777" w:rsidR="00427068" w:rsidRDefault="00427068" w:rsidP="004074AC">
            <w:pPr>
              <w:spacing w:before="120" w:after="120"/>
              <w:ind w:left="284"/>
              <w:rPr>
                <w:b/>
              </w:rPr>
            </w:pPr>
            <w:r w:rsidRPr="00A70997">
              <w:rPr>
                <w:b/>
              </w:rPr>
              <w:t xml:space="preserve">FCR </w:t>
            </w:r>
            <w:r>
              <w:rPr>
                <w:b/>
              </w:rPr>
              <w:t>16.02(1)(d)</w:t>
            </w:r>
          </w:p>
          <w:p w14:paraId="593342AF" w14:textId="77777777" w:rsidR="00427068" w:rsidRPr="00A70997" w:rsidRDefault="00427068" w:rsidP="004074AC">
            <w:pPr>
              <w:spacing w:before="120" w:after="120"/>
              <w:ind w:left="284"/>
            </w:pPr>
            <w:r>
              <w:t>A pleading must state the material facts on which a party relies that are necessary to give the opposing party fair notice of the case to be made against that party at trial, but not the evidence by which the material facts are to be proved.</w:t>
            </w:r>
          </w:p>
          <w:p w14:paraId="1E9217E8" w14:textId="77777777" w:rsidR="00427068" w:rsidRDefault="00427068" w:rsidP="004074AC">
            <w:pPr>
              <w:spacing w:before="120" w:after="120"/>
              <w:ind w:left="284"/>
              <w:rPr>
                <w:b/>
              </w:rPr>
            </w:pPr>
            <w:r>
              <w:rPr>
                <w:b/>
              </w:rPr>
              <w:t xml:space="preserve">FCR </w:t>
            </w:r>
            <w:r w:rsidRPr="00A70997">
              <w:rPr>
                <w:b/>
              </w:rPr>
              <w:t>16.21(1)(e)</w:t>
            </w:r>
          </w:p>
          <w:p w14:paraId="65ABDB12" w14:textId="77777777" w:rsidR="000C6462" w:rsidRPr="00A70997" w:rsidRDefault="000C6462" w:rsidP="004074AC">
            <w:pPr>
              <w:spacing w:before="120" w:after="120"/>
              <w:ind w:left="284"/>
              <w:rPr>
                <w:b/>
              </w:rPr>
            </w:pPr>
            <w:r>
              <w:rPr>
                <w:rStyle w:val="verdana"/>
              </w:rPr>
              <w:t>A party may apply to the Court for an order that all or part of a pleading be struck out on the ground that the pleading</w:t>
            </w:r>
            <w:r>
              <w:t xml:space="preserve"> </w:t>
            </w:r>
            <w:r>
              <w:rPr>
                <w:rStyle w:val="verdana"/>
              </w:rPr>
              <w:t>fails to disclose a reasonable cause of action or defence or other case appropriate to the nature of the pleading.</w:t>
            </w:r>
          </w:p>
        </w:tc>
      </w:tr>
      <w:tr w:rsidR="007A448B" w14:paraId="799E7A16" w14:textId="77777777">
        <w:trPr>
          <w:trHeight w:val="2252"/>
        </w:trPr>
        <w:tc>
          <w:tcPr>
            <w:tcW w:w="442" w:type="pct"/>
          </w:tcPr>
          <w:p w14:paraId="5D9C2B0E" w14:textId="77777777" w:rsidR="007A448B" w:rsidRDefault="007A448B" w:rsidP="004074AC">
            <w:pPr>
              <w:pStyle w:val="ListParagraph"/>
              <w:numPr>
                <w:ilvl w:val="0"/>
                <w:numId w:val="17"/>
              </w:numPr>
              <w:spacing w:before="120" w:after="120"/>
              <w:ind w:left="284"/>
              <w:contextualSpacing w:val="0"/>
              <w:jc w:val="center"/>
            </w:pPr>
          </w:p>
        </w:tc>
        <w:tc>
          <w:tcPr>
            <w:tcW w:w="1457" w:type="pct"/>
          </w:tcPr>
          <w:p w14:paraId="4B2CAFE5" w14:textId="77777777" w:rsidR="007A448B" w:rsidRPr="007A448B" w:rsidRDefault="007A448B" w:rsidP="004074AC">
            <w:pPr>
              <w:spacing w:before="120" w:after="120"/>
              <w:ind w:left="284"/>
              <w:rPr>
                <w:b/>
              </w:rPr>
            </w:pPr>
            <w:r>
              <w:rPr>
                <w:b/>
              </w:rPr>
              <w:t>Brevity</w:t>
            </w:r>
          </w:p>
          <w:p w14:paraId="0C64CF0B" w14:textId="77777777" w:rsidR="007A448B" w:rsidRDefault="007A448B" w:rsidP="004074AC">
            <w:pPr>
              <w:spacing w:before="120" w:after="120"/>
              <w:ind w:left="284"/>
            </w:pPr>
            <w:r>
              <w:t>Material facts in a summary form</w:t>
            </w:r>
            <w:r w:rsidR="004F6362">
              <w:t>.</w:t>
            </w:r>
          </w:p>
          <w:p w14:paraId="12678D39" w14:textId="77777777" w:rsidR="004F6362" w:rsidRDefault="004F6362" w:rsidP="004074AC">
            <w:pPr>
              <w:spacing w:before="120" w:after="120"/>
              <w:ind w:left="284"/>
              <w:rPr>
                <w:b/>
              </w:rPr>
            </w:pPr>
            <w:r>
              <w:rPr>
                <w:lang w:val="en-US"/>
              </w:rPr>
              <w:t>A pleading must be precise and concise, clear and well ordered</w:t>
            </w:r>
          </w:p>
        </w:tc>
        <w:tc>
          <w:tcPr>
            <w:tcW w:w="1656" w:type="pct"/>
          </w:tcPr>
          <w:p w14:paraId="29A18E56" w14:textId="77777777" w:rsidR="007A448B" w:rsidRPr="007A448B" w:rsidRDefault="007A448B" w:rsidP="004074AC">
            <w:pPr>
              <w:spacing w:before="120" w:after="120"/>
              <w:ind w:left="284"/>
              <w:rPr>
                <w:b/>
              </w:rPr>
            </w:pPr>
            <w:r>
              <w:rPr>
                <w:b/>
              </w:rPr>
              <w:t>R</w:t>
            </w:r>
            <w:r w:rsidR="00B93913">
              <w:rPr>
                <w:b/>
              </w:rPr>
              <w:t xml:space="preserve"> </w:t>
            </w:r>
            <w:r>
              <w:rPr>
                <w:b/>
              </w:rPr>
              <w:t>14.8</w:t>
            </w:r>
          </w:p>
          <w:p w14:paraId="35DE4FC9" w14:textId="77777777" w:rsidR="007A448B" w:rsidRDefault="007A448B" w:rsidP="004074AC">
            <w:pPr>
              <w:spacing w:before="120" w:after="120"/>
              <w:ind w:left="284"/>
            </w:pPr>
            <w:r>
              <w:t>Pleadings must be as brief as the nature of the case allows.</w:t>
            </w:r>
          </w:p>
        </w:tc>
        <w:tc>
          <w:tcPr>
            <w:tcW w:w="1445" w:type="pct"/>
          </w:tcPr>
          <w:p w14:paraId="2CA7A3FE" w14:textId="77777777" w:rsidR="00FA7588" w:rsidRDefault="00FA7588" w:rsidP="004074AC">
            <w:pPr>
              <w:spacing w:before="120" w:after="120"/>
              <w:ind w:left="284"/>
              <w:rPr>
                <w:b/>
              </w:rPr>
            </w:pPr>
            <w:r w:rsidRPr="00A70997">
              <w:rPr>
                <w:b/>
              </w:rPr>
              <w:t xml:space="preserve">FCR </w:t>
            </w:r>
            <w:r>
              <w:rPr>
                <w:b/>
              </w:rPr>
              <w:t>16.02(1)(b)</w:t>
            </w:r>
          </w:p>
          <w:p w14:paraId="364B162D" w14:textId="77777777" w:rsidR="00FA7588" w:rsidRPr="00FA7588" w:rsidRDefault="00FA7588" w:rsidP="004074AC">
            <w:pPr>
              <w:spacing w:before="120" w:after="120"/>
              <w:ind w:left="284"/>
            </w:pPr>
            <w:r>
              <w:t>A pleading must be as brief as the nature of the case permits.</w:t>
            </w:r>
          </w:p>
        </w:tc>
      </w:tr>
      <w:tr w:rsidR="008507DB" w14:paraId="2E1BAC40" w14:textId="77777777">
        <w:tc>
          <w:tcPr>
            <w:tcW w:w="442" w:type="pct"/>
          </w:tcPr>
          <w:p w14:paraId="4FBE919B" w14:textId="77777777" w:rsidR="008507DB" w:rsidRDefault="008507DB" w:rsidP="004074AC">
            <w:pPr>
              <w:pStyle w:val="ListParagraph"/>
              <w:numPr>
                <w:ilvl w:val="0"/>
                <w:numId w:val="17"/>
              </w:numPr>
              <w:spacing w:before="120" w:after="120"/>
              <w:ind w:left="284"/>
              <w:contextualSpacing w:val="0"/>
              <w:jc w:val="center"/>
            </w:pPr>
          </w:p>
        </w:tc>
        <w:tc>
          <w:tcPr>
            <w:tcW w:w="1457" w:type="pct"/>
          </w:tcPr>
          <w:p w14:paraId="5CE4CBA3" w14:textId="77777777" w:rsidR="007A448B" w:rsidRPr="007A448B" w:rsidRDefault="007A448B" w:rsidP="004074AC">
            <w:pPr>
              <w:spacing w:before="120" w:after="120"/>
              <w:ind w:left="284"/>
              <w:rPr>
                <w:b/>
              </w:rPr>
            </w:pPr>
            <w:r>
              <w:rPr>
                <w:b/>
              </w:rPr>
              <w:t>Distinguishing facts from law</w:t>
            </w:r>
          </w:p>
          <w:p w14:paraId="50650E5F" w14:textId="77777777" w:rsidR="008507DB" w:rsidRDefault="008507DB" w:rsidP="004074AC">
            <w:pPr>
              <w:spacing w:before="120" w:after="120"/>
              <w:ind w:left="284"/>
            </w:pPr>
          </w:p>
        </w:tc>
        <w:tc>
          <w:tcPr>
            <w:tcW w:w="1656" w:type="pct"/>
          </w:tcPr>
          <w:p w14:paraId="4FE52A67" w14:textId="77777777" w:rsidR="007A448B" w:rsidRDefault="007A448B" w:rsidP="004074AC">
            <w:pPr>
              <w:spacing w:before="120" w:after="120"/>
              <w:ind w:left="284"/>
              <w:rPr>
                <w:b/>
              </w:rPr>
            </w:pPr>
            <w:r>
              <w:rPr>
                <w:b/>
              </w:rPr>
              <w:t>While the general rule is that pleadings must not include conclusions of law, argument or inference, r 14.19 permits a party to raise a point of law.</w:t>
            </w:r>
          </w:p>
          <w:p w14:paraId="25988DBB" w14:textId="77777777" w:rsidR="007A448B" w:rsidRDefault="007A448B" w:rsidP="004074AC">
            <w:pPr>
              <w:spacing w:before="120" w:after="120"/>
              <w:ind w:left="284"/>
              <w:rPr>
                <w:b/>
              </w:rPr>
            </w:pPr>
            <w:r>
              <w:rPr>
                <w:b/>
              </w:rPr>
              <w:t>R 14.19</w:t>
            </w:r>
          </w:p>
          <w:p w14:paraId="68821061" w14:textId="77777777" w:rsidR="008507DB" w:rsidRDefault="007A448B" w:rsidP="004074AC">
            <w:pPr>
              <w:spacing w:before="120" w:after="120"/>
              <w:ind w:left="284"/>
            </w:pPr>
            <w:r>
              <w:t>A pleading may raise any point of law.</w:t>
            </w:r>
          </w:p>
          <w:p w14:paraId="60BB4416" w14:textId="77777777" w:rsidR="007A448B" w:rsidRDefault="007A448B" w:rsidP="004074AC">
            <w:pPr>
              <w:spacing w:before="120" w:after="120"/>
              <w:ind w:left="284"/>
            </w:pPr>
            <w:r>
              <w:t>[if however, a cause of action arises under a statutory provision, it should be expressly pleaded by referring to the specific section of the Act]</w:t>
            </w:r>
          </w:p>
          <w:p w14:paraId="0B2FDA96" w14:textId="77777777" w:rsidR="00AD2E94" w:rsidRDefault="00AD2E94" w:rsidP="004074AC">
            <w:pPr>
              <w:spacing w:before="120" w:after="120"/>
              <w:ind w:left="284"/>
            </w:pPr>
          </w:p>
          <w:p w14:paraId="45E150C2" w14:textId="77777777" w:rsidR="00AD2E94" w:rsidRDefault="00AD2E94" w:rsidP="004074AC">
            <w:pPr>
              <w:spacing w:before="120" w:after="120"/>
              <w:ind w:left="284"/>
            </w:pPr>
          </w:p>
        </w:tc>
        <w:tc>
          <w:tcPr>
            <w:tcW w:w="1445" w:type="pct"/>
          </w:tcPr>
          <w:p w14:paraId="6FE3F904" w14:textId="77777777" w:rsidR="008507DB" w:rsidRDefault="00FA7588" w:rsidP="004074AC">
            <w:pPr>
              <w:spacing w:before="120" w:after="120"/>
              <w:ind w:left="284"/>
              <w:rPr>
                <w:b/>
              </w:rPr>
            </w:pPr>
            <w:r w:rsidRPr="00A70997">
              <w:rPr>
                <w:b/>
              </w:rPr>
              <w:t xml:space="preserve">FCR </w:t>
            </w:r>
            <w:r>
              <w:rPr>
                <w:b/>
              </w:rPr>
              <w:t>16.02(3)</w:t>
            </w:r>
          </w:p>
          <w:p w14:paraId="17D506CA" w14:textId="77777777" w:rsidR="00FA7588" w:rsidRPr="00FA7588" w:rsidRDefault="00FA7588" w:rsidP="004074AC">
            <w:pPr>
              <w:spacing w:before="120" w:after="120"/>
              <w:ind w:left="284"/>
            </w:pPr>
            <w:r>
              <w:t xml:space="preserve">A pleading may raise a point of law. </w:t>
            </w:r>
          </w:p>
          <w:p w14:paraId="6272426E" w14:textId="77777777" w:rsidR="002632ED" w:rsidRDefault="002632ED" w:rsidP="004074AC">
            <w:pPr>
              <w:spacing w:before="120" w:after="120"/>
              <w:ind w:left="284"/>
            </w:pPr>
          </w:p>
          <w:p w14:paraId="546B6800" w14:textId="77777777" w:rsidR="002632ED" w:rsidRDefault="002632ED" w:rsidP="004074AC">
            <w:pPr>
              <w:spacing w:before="120" w:after="120"/>
              <w:ind w:left="284"/>
            </w:pPr>
          </w:p>
          <w:p w14:paraId="3781B360" w14:textId="77777777" w:rsidR="002632ED" w:rsidRDefault="002632ED" w:rsidP="004074AC">
            <w:pPr>
              <w:spacing w:before="120" w:after="120"/>
              <w:ind w:left="284"/>
            </w:pPr>
          </w:p>
          <w:p w14:paraId="05CB2885" w14:textId="77777777" w:rsidR="002632ED" w:rsidRDefault="002632ED" w:rsidP="004074AC">
            <w:pPr>
              <w:spacing w:before="120" w:after="120"/>
              <w:ind w:left="284"/>
            </w:pPr>
          </w:p>
          <w:p w14:paraId="5DDE2419" w14:textId="77777777" w:rsidR="002632ED" w:rsidRPr="002632ED" w:rsidRDefault="002632ED" w:rsidP="004074AC">
            <w:pPr>
              <w:spacing w:before="120" w:after="120"/>
              <w:ind w:left="284"/>
              <w:rPr>
                <w:b/>
              </w:rPr>
            </w:pPr>
          </w:p>
        </w:tc>
      </w:tr>
      <w:tr w:rsidR="007A448B" w14:paraId="0A731A95" w14:textId="77777777">
        <w:tc>
          <w:tcPr>
            <w:tcW w:w="442" w:type="pct"/>
          </w:tcPr>
          <w:p w14:paraId="76ABCC91" w14:textId="77777777" w:rsidR="007A448B" w:rsidRDefault="007A448B" w:rsidP="004074AC">
            <w:pPr>
              <w:pStyle w:val="ListParagraph"/>
              <w:numPr>
                <w:ilvl w:val="0"/>
                <w:numId w:val="17"/>
              </w:numPr>
              <w:spacing w:before="120" w:after="120"/>
              <w:ind w:left="284"/>
              <w:contextualSpacing w:val="0"/>
              <w:jc w:val="center"/>
            </w:pPr>
          </w:p>
        </w:tc>
        <w:tc>
          <w:tcPr>
            <w:tcW w:w="1457" w:type="pct"/>
          </w:tcPr>
          <w:p w14:paraId="37D3D528" w14:textId="77777777" w:rsidR="007A448B" w:rsidRPr="007A448B" w:rsidRDefault="007A448B" w:rsidP="004074AC">
            <w:pPr>
              <w:spacing w:before="120" w:after="120"/>
              <w:ind w:left="284"/>
              <w:rPr>
                <w:b/>
              </w:rPr>
            </w:pPr>
            <w:r>
              <w:rPr>
                <w:b/>
              </w:rPr>
              <w:t>Identifying specific legislative provisions relied upon</w:t>
            </w:r>
          </w:p>
          <w:p w14:paraId="54A52A62" w14:textId="77777777" w:rsidR="007A448B" w:rsidRDefault="007A448B" w:rsidP="004074AC">
            <w:pPr>
              <w:spacing w:before="120" w:after="120"/>
              <w:ind w:left="284"/>
            </w:pPr>
            <w:r>
              <w:t xml:space="preserve">Where the claim, defence, </w:t>
            </w:r>
            <w:proofErr w:type="spellStart"/>
            <w:r>
              <w:t>etc</w:t>
            </w:r>
            <w:proofErr w:type="spellEnd"/>
            <w:r>
              <w:t>, arises by or under any Act, the specific provision of the Act relied on</w:t>
            </w:r>
          </w:p>
        </w:tc>
        <w:tc>
          <w:tcPr>
            <w:tcW w:w="1656" w:type="pct"/>
          </w:tcPr>
          <w:p w14:paraId="5F57DD0C" w14:textId="77777777" w:rsidR="007A448B" w:rsidRDefault="00EC0470" w:rsidP="004074AC">
            <w:pPr>
              <w:spacing w:before="120" w:after="120"/>
              <w:ind w:left="284"/>
              <w:rPr>
                <w:b/>
              </w:rPr>
            </w:pPr>
            <w:r>
              <w:rPr>
                <w:b/>
              </w:rPr>
              <w:t>R 14.</w:t>
            </w:r>
            <w:r w:rsidR="004E28A9">
              <w:rPr>
                <w:b/>
              </w:rPr>
              <w:t>1</w:t>
            </w:r>
            <w:r>
              <w:rPr>
                <w:b/>
              </w:rPr>
              <w:t>9</w:t>
            </w:r>
          </w:p>
          <w:p w14:paraId="48C80155" w14:textId="77777777" w:rsidR="004E28A9" w:rsidRPr="00EC0470" w:rsidRDefault="004E28A9" w:rsidP="004074AC">
            <w:pPr>
              <w:spacing w:before="120" w:after="120"/>
              <w:ind w:left="284"/>
              <w:rPr>
                <w:b/>
              </w:rPr>
            </w:pPr>
          </w:p>
        </w:tc>
        <w:tc>
          <w:tcPr>
            <w:tcW w:w="1445" w:type="pct"/>
          </w:tcPr>
          <w:p w14:paraId="3BE7E9E7" w14:textId="77777777" w:rsidR="00FA7588" w:rsidRDefault="00FA7588" w:rsidP="004074AC">
            <w:pPr>
              <w:spacing w:before="120" w:after="120"/>
              <w:ind w:left="284"/>
              <w:rPr>
                <w:b/>
              </w:rPr>
            </w:pPr>
            <w:r w:rsidRPr="00A70997">
              <w:rPr>
                <w:b/>
              </w:rPr>
              <w:t xml:space="preserve">FCR </w:t>
            </w:r>
            <w:r>
              <w:rPr>
                <w:b/>
              </w:rPr>
              <w:t>16.02(1)(e)</w:t>
            </w:r>
          </w:p>
          <w:p w14:paraId="4B051C75" w14:textId="77777777" w:rsidR="00FA7588" w:rsidRPr="00FA7588" w:rsidRDefault="00FA7588" w:rsidP="004074AC">
            <w:pPr>
              <w:spacing w:before="120" w:after="120"/>
              <w:ind w:left="284"/>
            </w:pPr>
            <w:r>
              <w:t>A pleading must state the provisions of any statute relied on.</w:t>
            </w:r>
          </w:p>
          <w:p w14:paraId="1E2190AB" w14:textId="77777777" w:rsidR="007A448B" w:rsidRDefault="008B3064" w:rsidP="004074AC">
            <w:pPr>
              <w:spacing w:before="120" w:after="120"/>
              <w:ind w:left="284"/>
              <w:rPr>
                <w:b/>
              </w:rPr>
            </w:pPr>
            <w:r>
              <w:rPr>
                <w:b/>
              </w:rPr>
              <w:t>FCR</w:t>
            </w:r>
            <w:r w:rsidR="004E28A9">
              <w:rPr>
                <w:b/>
              </w:rPr>
              <w:t xml:space="preserve"> 8.03(1)</w:t>
            </w:r>
          </w:p>
          <w:p w14:paraId="08B7B3A3" w14:textId="77777777" w:rsidR="008B3064" w:rsidRPr="004E28A9" w:rsidRDefault="008B3064" w:rsidP="004074AC">
            <w:pPr>
              <w:spacing w:before="120" w:after="120"/>
              <w:ind w:left="284"/>
              <w:rPr>
                <w:b/>
              </w:rPr>
            </w:pPr>
            <w:r>
              <w:rPr>
                <w:rStyle w:val="verdana"/>
              </w:rPr>
              <w:t xml:space="preserve">An originating application must state the relief claimed, and if the relief is claimed under a provision of an Act — the Act and the provision under which the relief is </w:t>
            </w:r>
            <w:r>
              <w:rPr>
                <w:rStyle w:val="verdana"/>
              </w:rPr>
              <w:lastRenderedPageBreak/>
              <w:t>claimed.</w:t>
            </w:r>
          </w:p>
        </w:tc>
      </w:tr>
      <w:tr w:rsidR="007A448B" w14:paraId="77880F76" w14:textId="77777777">
        <w:tc>
          <w:tcPr>
            <w:tcW w:w="442" w:type="pct"/>
          </w:tcPr>
          <w:p w14:paraId="7CCF799A" w14:textId="77777777" w:rsidR="007A448B" w:rsidRDefault="007A448B" w:rsidP="004074AC">
            <w:pPr>
              <w:pStyle w:val="ListParagraph"/>
              <w:numPr>
                <w:ilvl w:val="0"/>
                <w:numId w:val="17"/>
              </w:numPr>
              <w:spacing w:before="120" w:after="120"/>
              <w:ind w:left="284"/>
              <w:contextualSpacing w:val="0"/>
              <w:jc w:val="center"/>
            </w:pPr>
          </w:p>
        </w:tc>
        <w:tc>
          <w:tcPr>
            <w:tcW w:w="1457" w:type="pct"/>
          </w:tcPr>
          <w:p w14:paraId="3E7900FB" w14:textId="77777777" w:rsidR="007A448B" w:rsidRPr="00FA7588" w:rsidRDefault="007A448B" w:rsidP="004074AC">
            <w:pPr>
              <w:spacing w:before="120" w:after="120"/>
              <w:ind w:left="284"/>
              <w:rPr>
                <w:b/>
              </w:rPr>
            </w:pPr>
            <w:r w:rsidRPr="00FA7588">
              <w:rPr>
                <w:b/>
              </w:rPr>
              <w:t>Any matter which if not specifically pleaded may take the other party by surprise</w:t>
            </w:r>
          </w:p>
        </w:tc>
        <w:tc>
          <w:tcPr>
            <w:tcW w:w="1656" w:type="pct"/>
          </w:tcPr>
          <w:p w14:paraId="432776B9" w14:textId="77777777" w:rsidR="007A448B" w:rsidRPr="008507DB" w:rsidRDefault="007A448B" w:rsidP="004074AC">
            <w:pPr>
              <w:spacing w:before="120" w:after="120"/>
              <w:ind w:left="284"/>
              <w:rPr>
                <w:rFonts w:cstheme="minorHAnsi"/>
                <w:b/>
              </w:rPr>
            </w:pPr>
            <w:r w:rsidRPr="008507DB">
              <w:rPr>
                <w:rFonts w:cstheme="minorHAnsi"/>
                <w:b/>
              </w:rPr>
              <w:t>R 14.14 General rule as to matters to be pleaded specifically</w:t>
            </w:r>
          </w:p>
          <w:p w14:paraId="5C02735E" w14:textId="77777777" w:rsidR="007A448B" w:rsidRPr="008507DB" w:rsidRDefault="007A448B" w:rsidP="004074AC">
            <w:pPr>
              <w:spacing w:before="120" w:after="120"/>
              <w:ind w:left="284"/>
              <w:rPr>
                <w:rFonts w:eastAsia="Times New Roman" w:cstheme="minorHAnsi"/>
                <w:lang w:eastAsia="en-AU"/>
              </w:rPr>
            </w:pPr>
            <w:r w:rsidRPr="008507DB">
              <w:rPr>
                <w:rFonts w:eastAsia="Times New Roman" w:cstheme="minorHAnsi"/>
                <w:lang w:eastAsia="en-AU"/>
              </w:rPr>
              <w:t>(1) In a statement of claim, the plaintiff must plead specifically any matter that, if not pleaded specifically, may take the defendant by surprise.</w:t>
            </w:r>
          </w:p>
          <w:p w14:paraId="6510C705" w14:textId="77777777" w:rsidR="007A448B" w:rsidRPr="008507DB" w:rsidRDefault="007A448B" w:rsidP="004074AC">
            <w:pPr>
              <w:spacing w:before="120" w:after="120"/>
              <w:ind w:left="284"/>
              <w:rPr>
                <w:rFonts w:eastAsia="Times New Roman" w:cstheme="minorHAnsi"/>
                <w:lang w:eastAsia="en-AU"/>
              </w:rPr>
            </w:pPr>
            <w:bookmarkStart w:id="4" w:name="UCPN.UCPR.UCPRN05.R14-14.2"/>
            <w:bookmarkEnd w:id="4"/>
            <w:r w:rsidRPr="008507DB">
              <w:rPr>
                <w:rFonts w:eastAsia="Times New Roman" w:cstheme="minorHAnsi"/>
                <w:lang w:eastAsia="en-AU"/>
              </w:rPr>
              <w:t>(2) In a defence or subsequent pleading, a party must plead specifically any matter:</w:t>
            </w:r>
          </w:p>
          <w:p w14:paraId="4FAFFDE8" w14:textId="77777777" w:rsidR="007A448B" w:rsidRPr="008507DB" w:rsidRDefault="007A448B" w:rsidP="004074AC">
            <w:pPr>
              <w:spacing w:before="120" w:after="120"/>
              <w:ind w:left="284"/>
              <w:rPr>
                <w:rFonts w:eastAsia="Times New Roman" w:cstheme="minorHAnsi"/>
                <w:lang w:eastAsia="en-AU"/>
              </w:rPr>
            </w:pPr>
            <w:bookmarkStart w:id="5" w:name="UCPN.UCPR.UCPRN05.R14-14.2.A"/>
            <w:bookmarkEnd w:id="5"/>
            <w:r w:rsidRPr="008507DB">
              <w:rPr>
                <w:rFonts w:eastAsia="Times New Roman" w:cstheme="minorHAnsi"/>
                <w:lang w:eastAsia="en-AU"/>
              </w:rPr>
              <w:t>(a) that, if not pleaded specifically, may take the opposite party by surprise, or</w:t>
            </w:r>
          </w:p>
          <w:p w14:paraId="2DAC871F" w14:textId="77777777" w:rsidR="007A448B" w:rsidRPr="008507DB" w:rsidRDefault="007A448B" w:rsidP="004074AC">
            <w:pPr>
              <w:spacing w:before="120" w:after="120"/>
              <w:ind w:left="284"/>
              <w:rPr>
                <w:rFonts w:eastAsia="Times New Roman" w:cstheme="minorHAnsi"/>
                <w:lang w:eastAsia="en-AU"/>
              </w:rPr>
            </w:pPr>
            <w:bookmarkStart w:id="6" w:name="UCPN.UCPR.UCPRN05.R14-14.2.B"/>
            <w:bookmarkEnd w:id="6"/>
            <w:r w:rsidRPr="008507DB">
              <w:rPr>
                <w:rFonts w:eastAsia="Times New Roman" w:cstheme="minorHAnsi"/>
                <w:lang w:eastAsia="en-AU"/>
              </w:rPr>
              <w:t>(b) that the party alleges makes any claim, defence or other case of the opposite party not maintainable, or</w:t>
            </w:r>
          </w:p>
          <w:p w14:paraId="4EC881EF" w14:textId="77777777" w:rsidR="007A448B" w:rsidRPr="008507DB" w:rsidRDefault="007A448B" w:rsidP="004074AC">
            <w:pPr>
              <w:spacing w:before="120" w:after="120"/>
              <w:ind w:left="284"/>
              <w:rPr>
                <w:rFonts w:eastAsia="Times New Roman" w:cstheme="minorHAnsi"/>
                <w:lang w:eastAsia="en-AU"/>
              </w:rPr>
            </w:pPr>
            <w:bookmarkStart w:id="7" w:name="UCPN.UCPR.UCPRN05.R14-14.2.C"/>
            <w:bookmarkEnd w:id="7"/>
            <w:r w:rsidRPr="008507DB">
              <w:rPr>
                <w:rFonts w:eastAsia="Times New Roman" w:cstheme="minorHAnsi"/>
                <w:lang w:eastAsia="en-AU"/>
              </w:rPr>
              <w:t>(c) </w:t>
            </w:r>
            <w:proofErr w:type="gramStart"/>
            <w:r w:rsidRPr="008507DB">
              <w:rPr>
                <w:rFonts w:eastAsia="Times New Roman" w:cstheme="minorHAnsi"/>
                <w:lang w:eastAsia="en-AU"/>
              </w:rPr>
              <w:t>that</w:t>
            </w:r>
            <w:proofErr w:type="gramEnd"/>
            <w:r w:rsidRPr="008507DB">
              <w:rPr>
                <w:rFonts w:eastAsia="Times New Roman" w:cstheme="minorHAnsi"/>
                <w:lang w:eastAsia="en-AU"/>
              </w:rPr>
              <w:t xml:space="preserve"> raises matters of fact not arising out of the preceding pleading.</w:t>
            </w:r>
          </w:p>
          <w:p w14:paraId="7D2D8736" w14:textId="77777777" w:rsidR="007A448B" w:rsidRDefault="007A448B" w:rsidP="004074AC">
            <w:pPr>
              <w:spacing w:before="120" w:after="120"/>
              <w:ind w:left="284"/>
              <w:rPr>
                <w:rFonts w:eastAsia="Times New Roman" w:cstheme="minorHAnsi"/>
                <w:lang w:eastAsia="en-AU"/>
              </w:rPr>
            </w:pPr>
            <w:bookmarkStart w:id="8" w:name="UCPN.UCPR.UCPRN05.R14-14.3"/>
            <w:bookmarkEnd w:id="8"/>
            <w:r w:rsidRPr="008507DB">
              <w:rPr>
                <w:rFonts w:eastAsia="Times New Roman" w:cstheme="minorHAnsi"/>
                <w:lang w:eastAsia="en-AU"/>
              </w:rPr>
              <w:t xml:space="preserve">(3) Matters which must be pleaded pursuant to </w:t>
            </w:r>
            <w:proofErr w:type="spellStart"/>
            <w:r w:rsidRPr="008507DB">
              <w:rPr>
                <w:rFonts w:eastAsia="Times New Roman" w:cstheme="minorHAnsi"/>
                <w:lang w:eastAsia="en-AU"/>
              </w:rPr>
              <w:t>subrule</w:t>
            </w:r>
            <w:proofErr w:type="spellEnd"/>
            <w:r w:rsidRPr="008507DB">
              <w:rPr>
                <w:rFonts w:eastAsia="Times New Roman" w:cstheme="minorHAnsi"/>
                <w:lang w:eastAsia="en-AU"/>
              </w:rPr>
              <w:t xml:space="preserve"> (2) include (but are not limited to) fraud, performance, release, statute of limitation, extinction of right or title, voluntary assumption of risk, causation of accident by unknown and undiscoverable mechanical defec</w:t>
            </w:r>
            <w:r w:rsidR="004074AC">
              <w:rPr>
                <w:rFonts w:eastAsia="Times New Roman" w:cstheme="minorHAnsi"/>
                <w:lang w:eastAsia="en-AU"/>
              </w:rPr>
              <w:t>t and facts showing illegality.</w:t>
            </w:r>
          </w:p>
          <w:p w14:paraId="56A91734" w14:textId="77777777" w:rsidR="00AD2E94" w:rsidRDefault="00AD2E94" w:rsidP="004074AC">
            <w:pPr>
              <w:spacing w:before="120" w:after="120"/>
              <w:ind w:left="284"/>
              <w:rPr>
                <w:rFonts w:eastAsia="Times New Roman" w:cstheme="minorHAnsi"/>
                <w:lang w:eastAsia="en-AU"/>
              </w:rPr>
            </w:pPr>
          </w:p>
          <w:p w14:paraId="2FEC1802" w14:textId="77777777" w:rsidR="00AD2E94" w:rsidRPr="004074AC" w:rsidRDefault="00AD2E94" w:rsidP="004074AC">
            <w:pPr>
              <w:spacing w:before="120" w:after="120"/>
              <w:ind w:left="284"/>
              <w:rPr>
                <w:rFonts w:eastAsia="Times New Roman" w:cstheme="minorHAnsi"/>
                <w:lang w:eastAsia="en-AU"/>
              </w:rPr>
            </w:pPr>
          </w:p>
        </w:tc>
        <w:tc>
          <w:tcPr>
            <w:tcW w:w="1445" w:type="pct"/>
          </w:tcPr>
          <w:p w14:paraId="0F61D0B5" w14:textId="77777777" w:rsidR="007A448B" w:rsidRDefault="00FA7588" w:rsidP="004074AC">
            <w:pPr>
              <w:spacing w:before="120" w:after="120"/>
              <w:ind w:left="284"/>
              <w:rPr>
                <w:b/>
              </w:rPr>
            </w:pPr>
            <w:r w:rsidRPr="00A70997">
              <w:rPr>
                <w:b/>
              </w:rPr>
              <w:t xml:space="preserve">FCR </w:t>
            </w:r>
            <w:r>
              <w:rPr>
                <w:b/>
              </w:rPr>
              <w:t>16.03</w:t>
            </w:r>
          </w:p>
          <w:p w14:paraId="36906A46" w14:textId="77777777" w:rsidR="00FA7588" w:rsidRPr="00843BB1" w:rsidRDefault="00FA7588" w:rsidP="004074AC">
            <w:pPr>
              <w:spacing w:before="120" w:after="120"/>
              <w:ind w:left="284"/>
              <w:rPr>
                <w:rFonts w:eastAsia="Times New Roman" w:cstheme="minorHAnsi"/>
                <w:lang w:eastAsia="en-AU"/>
              </w:rPr>
            </w:pPr>
            <w:r w:rsidRPr="00843BB1">
              <w:rPr>
                <w:rFonts w:eastAsia="Times New Roman" w:cstheme="minorHAnsi"/>
                <w:lang w:eastAsia="en-AU"/>
              </w:rPr>
              <w:t>(1) A party must plead a fact if:</w:t>
            </w:r>
          </w:p>
          <w:p w14:paraId="5D49D3F3" w14:textId="77777777" w:rsidR="00FA7588" w:rsidRPr="00843BB1" w:rsidRDefault="00FA7588" w:rsidP="004074AC">
            <w:pPr>
              <w:spacing w:before="120" w:after="120"/>
              <w:ind w:left="284"/>
              <w:rPr>
                <w:rFonts w:eastAsia="Times New Roman" w:cstheme="minorHAnsi"/>
                <w:lang w:eastAsia="en-AU"/>
              </w:rPr>
            </w:pPr>
            <w:bookmarkStart w:id="9" w:name="WRL.RU.FCR11.R16-03.1.A"/>
            <w:bookmarkEnd w:id="9"/>
            <w:r w:rsidRPr="00843BB1">
              <w:rPr>
                <w:rFonts w:eastAsia="Times New Roman" w:cstheme="minorHAnsi"/>
                <w:lang w:eastAsia="en-AU"/>
              </w:rPr>
              <w:t>(a) it is necessary to plead it to meet an express denial of the fact pleaded by another party; or</w:t>
            </w:r>
          </w:p>
          <w:p w14:paraId="7454E6EB" w14:textId="77777777" w:rsidR="00FA7588" w:rsidRPr="00843BB1" w:rsidRDefault="00FA7588" w:rsidP="004074AC">
            <w:pPr>
              <w:spacing w:before="120" w:after="120"/>
              <w:ind w:left="284"/>
              <w:rPr>
                <w:rFonts w:eastAsia="Times New Roman" w:cstheme="minorHAnsi"/>
                <w:lang w:eastAsia="en-AU"/>
              </w:rPr>
            </w:pPr>
            <w:bookmarkStart w:id="10" w:name="WRL.RU.FCR11.R16-03.1.B"/>
            <w:bookmarkEnd w:id="10"/>
            <w:r w:rsidRPr="00FA7588">
              <w:rPr>
                <w:rFonts w:eastAsia="Times New Roman" w:cstheme="minorHAnsi"/>
                <w:lang w:eastAsia="en-AU"/>
              </w:rPr>
              <w:t>(b) </w:t>
            </w:r>
            <w:proofErr w:type="gramStart"/>
            <w:r w:rsidRPr="00843BB1">
              <w:rPr>
                <w:rFonts w:eastAsia="Times New Roman" w:cstheme="minorHAnsi"/>
                <w:lang w:eastAsia="en-AU"/>
              </w:rPr>
              <w:t>failure</w:t>
            </w:r>
            <w:proofErr w:type="gramEnd"/>
            <w:r w:rsidRPr="00843BB1">
              <w:rPr>
                <w:rFonts w:eastAsia="Times New Roman" w:cstheme="minorHAnsi"/>
                <w:lang w:eastAsia="en-AU"/>
              </w:rPr>
              <w:t xml:space="preserve"> to plead the fact may take another party by surprise.</w:t>
            </w:r>
          </w:p>
          <w:p w14:paraId="782BB6CF" w14:textId="77777777" w:rsidR="00FA7588" w:rsidRDefault="00FA7588" w:rsidP="004074AC">
            <w:pPr>
              <w:spacing w:before="120" w:after="120"/>
              <w:ind w:left="284"/>
              <w:rPr>
                <w:rFonts w:eastAsia="Times New Roman" w:cstheme="minorHAnsi"/>
                <w:lang w:eastAsia="en-AU"/>
              </w:rPr>
            </w:pPr>
            <w:bookmarkStart w:id="11" w:name="WRL.RU.FCR11.R16-03.2"/>
            <w:bookmarkEnd w:id="11"/>
            <w:r w:rsidRPr="00843BB1">
              <w:rPr>
                <w:rFonts w:eastAsia="Times New Roman" w:cstheme="minorHAnsi"/>
                <w:lang w:eastAsia="en-AU"/>
              </w:rPr>
              <w:t>(2) However, a party need not plead a fact if the burden of proving the fact does not lie on that party.</w:t>
            </w:r>
          </w:p>
          <w:p w14:paraId="401123B4" w14:textId="77777777" w:rsidR="00843BB1" w:rsidRDefault="00843BB1" w:rsidP="004074AC">
            <w:pPr>
              <w:spacing w:before="120" w:after="120"/>
              <w:ind w:left="284"/>
              <w:rPr>
                <w:rFonts w:eastAsia="Times New Roman" w:cstheme="minorHAnsi"/>
                <w:lang w:eastAsia="en-AU"/>
              </w:rPr>
            </w:pPr>
          </w:p>
          <w:p w14:paraId="6C9377A5" w14:textId="77777777" w:rsidR="00843BB1" w:rsidRPr="00843BB1" w:rsidRDefault="00843BB1" w:rsidP="004074AC">
            <w:pPr>
              <w:spacing w:before="120" w:after="120"/>
              <w:ind w:left="284"/>
              <w:rPr>
                <w:rFonts w:eastAsia="Times New Roman" w:cstheme="minorHAnsi"/>
                <w:b/>
                <w:lang w:eastAsia="en-AU"/>
              </w:rPr>
            </w:pPr>
            <w:r>
              <w:rPr>
                <w:rFonts w:eastAsia="Times New Roman" w:cstheme="minorHAnsi"/>
                <w:b/>
                <w:lang w:eastAsia="en-AU"/>
              </w:rPr>
              <w:t>See also FCR 16.08(b)</w:t>
            </w:r>
          </w:p>
          <w:p w14:paraId="7061EB2D" w14:textId="77777777" w:rsidR="00FA7588" w:rsidRDefault="00843BB1" w:rsidP="004074AC">
            <w:pPr>
              <w:spacing w:before="120" w:after="120"/>
              <w:ind w:left="284"/>
            </w:pPr>
            <w:r>
              <w:rPr>
                <w:rStyle w:val="verdana"/>
              </w:rPr>
              <w:t>In a pleading subsequent to a statement of claim, a party must expressly plead a matter of fact or point of law that if not expressly pleaded, might take another party by surprise if later pleaded</w:t>
            </w:r>
            <w:r w:rsidR="008B3064">
              <w:rPr>
                <w:rStyle w:val="verdana"/>
              </w:rPr>
              <w:t>.</w:t>
            </w:r>
          </w:p>
        </w:tc>
      </w:tr>
      <w:tr w:rsidR="007A448B" w14:paraId="3F12FC34" w14:textId="77777777">
        <w:tc>
          <w:tcPr>
            <w:tcW w:w="442" w:type="pct"/>
          </w:tcPr>
          <w:p w14:paraId="39C61449" w14:textId="77777777" w:rsidR="007A448B" w:rsidRDefault="007A448B" w:rsidP="004074AC">
            <w:pPr>
              <w:pStyle w:val="ListParagraph"/>
              <w:numPr>
                <w:ilvl w:val="0"/>
                <w:numId w:val="17"/>
              </w:numPr>
              <w:spacing w:before="120" w:after="120"/>
              <w:ind w:left="284"/>
              <w:contextualSpacing w:val="0"/>
              <w:jc w:val="center"/>
            </w:pPr>
          </w:p>
        </w:tc>
        <w:tc>
          <w:tcPr>
            <w:tcW w:w="1457" w:type="pct"/>
          </w:tcPr>
          <w:p w14:paraId="7F04F614" w14:textId="77777777" w:rsidR="007A448B" w:rsidRPr="00730E8F" w:rsidRDefault="007A448B" w:rsidP="004074AC">
            <w:pPr>
              <w:spacing w:before="120" w:after="120"/>
              <w:ind w:left="284"/>
              <w:rPr>
                <w:b/>
              </w:rPr>
            </w:pPr>
            <w:r w:rsidRPr="00730E8F">
              <w:rPr>
                <w:b/>
              </w:rPr>
              <w:t>Consistency</w:t>
            </w:r>
          </w:p>
        </w:tc>
        <w:tc>
          <w:tcPr>
            <w:tcW w:w="1656" w:type="pct"/>
          </w:tcPr>
          <w:p w14:paraId="7C615AFE" w14:textId="77777777" w:rsidR="007A448B" w:rsidRPr="008507DB" w:rsidRDefault="007A448B" w:rsidP="004074AC">
            <w:pPr>
              <w:spacing w:before="120" w:after="120"/>
              <w:ind w:left="284"/>
              <w:rPr>
                <w:rFonts w:cstheme="minorHAnsi"/>
                <w:b/>
              </w:rPr>
            </w:pPr>
            <w:r w:rsidRPr="008507DB">
              <w:rPr>
                <w:rFonts w:cstheme="minorHAnsi"/>
                <w:b/>
              </w:rPr>
              <w:t>R 14.18 Pleadings to be consistent as to allegations of fact</w:t>
            </w:r>
          </w:p>
          <w:p w14:paraId="3DECBAAF" w14:textId="77777777" w:rsidR="007A448B" w:rsidRPr="008507DB" w:rsidRDefault="007A448B" w:rsidP="004074AC">
            <w:pPr>
              <w:spacing w:before="120" w:after="120"/>
              <w:ind w:left="284"/>
              <w:rPr>
                <w:rFonts w:eastAsia="Times New Roman" w:cstheme="minorHAnsi"/>
                <w:lang w:eastAsia="en-AU"/>
              </w:rPr>
            </w:pPr>
            <w:r w:rsidRPr="008507DB">
              <w:rPr>
                <w:rFonts w:eastAsia="Times New Roman" w:cstheme="minorHAnsi"/>
                <w:lang w:eastAsia="en-AU"/>
              </w:rPr>
              <w:t xml:space="preserve">(1) A party must not in any pleading make an allegation of fact, or raise any ground or claim, inconsistent with any of his or her previous </w:t>
            </w:r>
            <w:r w:rsidRPr="008507DB">
              <w:rPr>
                <w:rFonts w:eastAsia="Times New Roman" w:cstheme="minorHAnsi"/>
                <w:lang w:eastAsia="en-AU"/>
              </w:rPr>
              <w:lastRenderedPageBreak/>
              <w:t>pleadings.</w:t>
            </w:r>
          </w:p>
          <w:p w14:paraId="3DC2A184" w14:textId="77777777" w:rsidR="007A448B" w:rsidRPr="004074AC" w:rsidRDefault="007A448B" w:rsidP="004074AC">
            <w:pPr>
              <w:spacing w:before="120" w:after="120"/>
              <w:ind w:left="284"/>
              <w:rPr>
                <w:rFonts w:eastAsia="Times New Roman" w:cstheme="minorHAnsi"/>
                <w:lang w:eastAsia="en-AU"/>
              </w:rPr>
            </w:pPr>
            <w:bookmarkStart w:id="12" w:name="UCPN.UCPR.UCPRN05.R14-18.2"/>
            <w:bookmarkEnd w:id="12"/>
            <w:r w:rsidRPr="008507DB">
              <w:rPr>
                <w:rFonts w:eastAsia="Times New Roman" w:cstheme="minorHAnsi"/>
                <w:lang w:eastAsia="en-AU"/>
              </w:rPr>
              <w:t xml:space="preserve">(2) </w:t>
            </w:r>
            <w:proofErr w:type="spellStart"/>
            <w:r w:rsidRPr="008507DB">
              <w:rPr>
                <w:rFonts w:eastAsia="Times New Roman" w:cstheme="minorHAnsi"/>
                <w:lang w:eastAsia="en-AU"/>
              </w:rPr>
              <w:t>Subrule</w:t>
            </w:r>
            <w:proofErr w:type="spellEnd"/>
            <w:r w:rsidRPr="008507DB">
              <w:rPr>
                <w:rFonts w:eastAsia="Times New Roman" w:cstheme="minorHAnsi"/>
                <w:lang w:eastAsia="en-AU"/>
              </w:rPr>
              <w:t xml:space="preserve"> (1) does not affect the right of a party to make allegations of fact, or raise grounds</w:t>
            </w:r>
            <w:r w:rsidR="004074AC">
              <w:rPr>
                <w:rFonts w:eastAsia="Times New Roman" w:cstheme="minorHAnsi"/>
                <w:lang w:eastAsia="en-AU"/>
              </w:rPr>
              <w:t xml:space="preserve"> or claims, in the alternative.</w:t>
            </w:r>
          </w:p>
        </w:tc>
        <w:tc>
          <w:tcPr>
            <w:tcW w:w="1445" w:type="pct"/>
          </w:tcPr>
          <w:p w14:paraId="6EBB2BE7" w14:textId="77777777" w:rsidR="007A448B" w:rsidRDefault="00FA7588" w:rsidP="004074AC">
            <w:pPr>
              <w:spacing w:before="120" w:after="120"/>
              <w:ind w:left="284"/>
              <w:rPr>
                <w:b/>
              </w:rPr>
            </w:pPr>
            <w:r w:rsidRPr="00A70997">
              <w:rPr>
                <w:b/>
              </w:rPr>
              <w:lastRenderedPageBreak/>
              <w:t xml:space="preserve">FCR </w:t>
            </w:r>
            <w:r>
              <w:rPr>
                <w:b/>
              </w:rPr>
              <w:t>16.06</w:t>
            </w:r>
          </w:p>
          <w:p w14:paraId="1D902CCA" w14:textId="77777777" w:rsidR="00FA7588" w:rsidRPr="00FA7588" w:rsidRDefault="00FA7588" w:rsidP="004074AC">
            <w:pPr>
              <w:spacing w:before="120" w:after="120"/>
              <w:ind w:left="284"/>
            </w:pPr>
            <w:r>
              <w:t xml:space="preserve">A party must not plead inconsistent allegations of fact or inconsistent grounds or claims except as alternatives. </w:t>
            </w:r>
          </w:p>
        </w:tc>
      </w:tr>
      <w:tr w:rsidR="007A448B" w14:paraId="456409FF" w14:textId="77777777">
        <w:tc>
          <w:tcPr>
            <w:tcW w:w="442" w:type="pct"/>
          </w:tcPr>
          <w:p w14:paraId="566220EB" w14:textId="77777777" w:rsidR="007A448B" w:rsidRDefault="007A448B" w:rsidP="004074AC">
            <w:pPr>
              <w:pStyle w:val="ListParagraph"/>
              <w:numPr>
                <w:ilvl w:val="0"/>
                <w:numId w:val="17"/>
              </w:numPr>
              <w:spacing w:before="120" w:after="120"/>
              <w:ind w:left="284"/>
              <w:contextualSpacing w:val="0"/>
              <w:jc w:val="center"/>
            </w:pPr>
          </w:p>
        </w:tc>
        <w:tc>
          <w:tcPr>
            <w:tcW w:w="1457" w:type="pct"/>
          </w:tcPr>
          <w:p w14:paraId="0D95C2E6" w14:textId="77777777" w:rsidR="007A448B" w:rsidRDefault="004E28A9" w:rsidP="004074AC">
            <w:pPr>
              <w:spacing w:before="120" w:after="120"/>
              <w:ind w:left="284"/>
              <w:rPr>
                <w:b/>
              </w:rPr>
            </w:pPr>
            <w:r>
              <w:rPr>
                <w:b/>
              </w:rPr>
              <w:t>Specifying the relief or remedy sought</w:t>
            </w:r>
          </w:p>
          <w:p w14:paraId="456297C5" w14:textId="77777777" w:rsidR="004F6362" w:rsidRDefault="004F6362" w:rsidP="004074AC">
            <w:pPr>
              <w:spacing w:before="120" w:after="120"/>
              <w:ind w:left="284"/>
            </w:pPr>
            <w:r>
              <w:t xml:space="preserve">The pleading should contain particulars of damages sought and the basis on which they have been worked out or estimated.  </w:t>
            </w:r>
          </w:p>
          <w:p w14:paraId="72652C77" w14:textId="77777777" w:rsidR="004F6362" w:rsidRDefault="004F6362" w:rsidP="004074AC">
            <w:pPr>
              <w:spacing w:before="120" w:after="120"/>
              <w:ind w:left="284"/>
            </w:pPr>
            <w:r>
              <w:t>A failure to adequately particularise damages will expose you to a request for further particulars which will have time and cost implications.</w:t>
            </w:r>
          </w:p>
        </w:tc>
        <w:tc>
          <w:tcPr>
            <w:tcW w:w="1656" w:type="pct"/>
          </w:tcPr>
          <w:p w14:paraId="2E67D182" w14:textId="77777777" w:rsidR="007A448B" w:rsidRPr="00730E8F" w:rsidRDefault="00730E8F" w:rsidP="004074AC">
            <w:pPr>
              <w:spacing w:before="120" w:after="120"/>
              <w:ind w:left="284"/>
              <w:rPr>
                <w:rFonts w:cstheme="minorHAnsi"/>
                <w:b/>
              </w:rPr>
            </w:pPr>
            <w:r>
              <w:rPr>
                <w:b/>
              </w:rPr>
              <w:t xml:space="preserve">R 6.12 Contents of </w:t>
            </w:r>
            <w:r w:rsidRPr="00730E8F">
              <w:rPr>
                <w:rFonts w:cstheme="minorHAnsi"/>
                <w:b/>
              </w:rPr>
              <w:t>Statement of Claim and Summons</w:t>
            </w:r>
          </w:p>
          <w:p w14:paraId="5FDD40DD" w14:textId="77777777" w:rsidR="00730E8F" w:rsidRPr="00730E8F" w:rsidRDefault="00730E8F" w:rsidP="004074AC">
            <w:pPr>
              <w:spacing w:before="120" w:after="120"/>
              <w:ind w:left="284"/>
              <w:rPr>
                <w:rFonts w:eastAsia="Times New Roman" w:cstheme="minorHAnsi"/>
                <w:lang w:eastAsia="en-AU"/>
              </w:rPr>
            </w:pPr>
            <w:r w:rsidRPr="00730E8F">
              <w:rPr>
                <w:rFonts w:eastAsia="Times New Roman" w:cstheme="minorHAnsi"/>
                <w:lang w:eastAsia="en-AU"/>
              </w:rPr>
              <w:t>(1) A statement of claim or summons must specifically state the relief claimed by the plaintiff.</w:t>
            </w:r>
          </w:p>
          <w:p w14:paraId="460E59EB" w14:textId="77777777" w:rsidR="00730E8F" w:rsidRPr="00730E8F" w:rsidRDefault="00730E8F" w:rsidP="004074AC">
            <w:pPr>
              <w:spacing w:before="120" w:after="120"/>
              <w:ind w:left="284"/>
              <w:rPr>
                <w:rFonts w:eastAsia="Times New Roman" w:cstheme="minorHAnsi"/>
                <w:lang w:eastAsia="en-AU"/>
              </w:rPr>
            </w:pPr>
            <w:bookmarkStart w:id="13" w:name="UCPN.UCPR.UCPRN05.R6-12.2"/>
            <w:bookmarkEnd w:id="13"/>
            <w:r w:rsidRPr="00730E8F">
              <w:rPr>
                <w:rFonts w:eastAsia="Times New Roman" w:cstheme="minorHAnsi"/>
                <w:lang w:eastAsia="en-AU"/>
              </w:rPr>
              <w:t>(2) If the relief claimed requires the determination or direction of the court on any question, the statement of claim or summons must state the question.</w:t>
            </w:r>
          </w:p>
          <w:p w14:paraId="2F9C5AF9" w14:textId="77777777" w:rsidR="00730E8F" w:rsidRPr="00730E8F" w:rsidRDefault="00730E8F" w:rsidP="004074AC">
            <w:pPr>
              <w:spacing w:before="120" w:after="120"/>
              <w:ind w:left="284"/>
              <w:rPr>
                <w:rFonts w:eastAsia="Times New Roman" w:cstheme="minorHAnsi"/>
                <w:lang w:eastAsia="en-AU"/>
              </w:rPr>
            </w:pPr>
            <w:bookmarkStart w:id="14" w:name="UCPN.UCPR.UCPRN05.R6-12.3"/>
            <w:bookmarkEnd w:id="14"/>
            <w:r w:rsidRPr="00730E8F">
              <w:rPr>
                <w:rFonts w:eastAsia="Times New Roman" w:cstheme="minorHAnsi"/>
                <w:lang w:eastAsia="en-AU"/>
              </w:rPr>
              <w:t xml:space="preserve">(3) Costs referred to in section </w:t>
            </w:r>
            <w:r w:rsidR="0034287D">
              <w:rPr>
                <w:rFonts w:eastAsia="Times New Roman" w:cstheme="minorHAnsi"/>
                <w:lang w:eastAsia="en-AU"/>
              </w:rPr>
              <w:t>59(1)(d)</w:t>
            </w:r>
            <w:r w:rsidRPr="00730E8F">
              <w:rPr>
                <w:rFonts w:eastAsia="Times New Roman" w:cstheme="minorHAnsi"/>
                <w:lang w:eastAsia="en-AU"/>
              </w:rPr>
              <w:t xml:space="preserve"> of the Legal Profession </w:t>
            </w:r>
            <w:r w:rsidR="0093269F">
              <w:rPr>
                <w:rFonts w:eastAsia="Times New Roman" w:cstheme="minorHAnsi"/>
                <w:lang w:eastAsia="en-AU"/>
              </w:rPr>
              <w:t xml:space="preserve">Uniform Law Application Act 2014 </w:t>
            </w:r>
            <w:r w:rsidRPr="00730E8F">
              <w:rPr>
                <w:rFonts w:eastAsia="Times New Roman" w:cstheme="minorHAnsi"/>
                <w:lang w:eastAsia="en-AU"/>
              </w:rPr>
              <w:t>(costs payable for the enforcement of a lump sum debt or liquidated sum for damages) must be specifically claimed.</w:t>
            </w:r>
          </w:p>
          <w:p w14:paraId="1C5ACAB1" w14:textId="77777777" w:rsidR="00730E8F" w:rsidRPr="00730E8F" w:rsidRDefault="00730E8F" w:rsidP="004074AC">
            <w:pPr>
              <w:spacing w:before="120" w:after="120"/>
              <w:ind w:left="284"/>
              <w:rPr>
                <w:rFonts w:eastAsia="Times New Roman" w:cstheme="minorHAnsi"/>
                <w:lang w:eastAsia="en-AU"/>
              </w:rPr>
            </w:pPr>
            <w:bookmarkStart w:id="15" w:name="UCPN.UCPR.UCPRN05.R6-12.4"/>
            <w:bookmarkEnd w:id="15"/>
            <w:r w:rsidRPr="00730E8F">
              <w:rPr>
                <w:rFonts w:eastAsia="Times New Roman" w:cstheme="minorHAnsi"/>
                <w:lang w:eastAsia="en-AU"/>
              </w:rPr>
              <w:t xml:space="preserve">(4) Costs, other than those referred to in section </w:t>
            </w:r>
            <w:r w:rsidR="0093269F">
              <w:rPr>
                <w:rFonts w:eastAsia="Times New Roman" w:cstheme="minorHAnsi"/>
                <w:lang w:eastAsia="en-AU"/>
              </w:rPr>
              <w:t>59(1)(d)</w:t>
            </w:r>
            <w:r w:rsidRPr="00730E8F">
              <w:rPr>
                <w:rFonts w:eastAsia="Times New Roman" w:cstheme="minorHAnsi"/>
                <w:lang w:eastAsia="en-AU"/>
              </w:rPr>
              <w:t xml:space="preserve"> of the Legal Profession </w:t>
            </w:r>
            <w:r w:rsidR="0093269F">
              <w:rPr>
                <w:rFonts w:eastAsia="Times New Roman" w:cstheme="minorHAnsi"/>
                <w:lang w:eastAsia="en-AU"/>
              </w:rPr>
              <w:t>Uniform Law Application Act 2014</w:t>
            </w:r>
            <w:r w:rsidRPr="00730E8F">
              <w:rPr>
                <w:rFonts w:eastAsia="Times New Roman" w:cstheme="minorHAnsi"/>
                <w:lang w:eastAsia="en-AU"/>
              </w:rPr>
              <w:t>, need not be specifically claimed.</w:t>
            </w:r>
          </w:p>
          <w:p w14:paraId="621E9FAC" w14:textId="77777777" w:rsidR="00730E8F" w:rsidRPr="00730E8F" w:rsidRDefault="00730E8F" w:rsidP="004074AC">
            <w:pPr>
              <w:spacing w:before="120" w:after="120"/>
              <w:ind w:left="284"/>
              <w:rPr>
                <w:rFonts w:eastAsia="Times New Roman" w:cstheme="minorHAnsi"/>
                <w:lang w:eastAsia="en-AU"/>
              </w:rPr>
            </w:pPr>
            <w:bookmarkStart w:id="16" w:name="UCPN.UCPR.UCPRN05.R6-12.5"/>
            <w:bookmarkEnd w:id="16"/>
            <w:r w:rsidRPr="00730E8F">
              <w:rPr>
                <w:rFonts w:eastAsia="Times New Roman" w:cstheme="minorHAnsi"/>
                <w:lang w:eastAsia="en-AU"/>
              </w:rPr>
              <w:t>(5) Exemplary damages and aggravated compensatory damages must be specifically claimed.</w:t>
            </w:r>
          </w:p>
          <w:p w14:paraId="4BE06C3D" w14:textId="77777777" w:rsidR="00730E8F" w:rsidRPr="00730E8F" w:rsidRDefault="00730E8F" w:rsidP="004074AC">
            <w:pPr>
              <w:spacing w:before="120" w:after="120"/>
              <w:ind w:left="284"/>
              <w:rPr>
                <w:rFonts w:eastAsia="Times New Roman" w:cstheme="minorHAnsi"/>
                <w:lang w:eastAsia="en-AU"/>
              </w:rPr>
            </w:pPr>
            <w:bookmarkStart w:id="17" w:name="UCPN.UCPR.UCPRN05.R6-12.6"/>
            <w:bookmarkEnd w:id="17"/>
            <w:r w:rsidRPr="00730E8F">
              <w:rPr>
                <w:rFonts w:eastAsia="Times New Roman" w:cstheme="minorHAnsi"/>
                <w:lang w:eastAsia="en-AU"/>
              </w:rPr>
              <w:t>(6) An order for interest up to judgment must be specifically claimed.</w:t>
            </w:r>
          </w:p>
          <w:p w14:paraId="7BA5496E" w14:textId="77777777" w:rsidR="00730E8F" w:rsidRPr="00730E8F" w:rsidRDefault="00730E8F" w:rsidP="004074AC">
            <w:pPr>
              <w:spacing w:before="120" w:after="120"/>
              <w:ind w:left="284"/>
              <w:rPr>
                <w:rFonts w:eastAsia="Times New Roman" w:cstheme="minorHAnsi"/>
                <w:lang w:eastAsia="en-AU"/>
              </w:rPr>
            </w:pPr>
            <w:bookmarkStart w:id="18" w:name="UCPN.UCPR.UCPRN05.R6-12.7"/>
            <w:bookmarkEnd w:id="18"/>
            <w:r w:rsidRPr="00730E8F">
              <w:rPr>
                <w:rFonts w:eastAsia="Times New Roman" w:cstheme="minorHAnsi"/>
                <w:lang w:eastAsia="en-AU"/>
              </w:rPr>
              <w:t>(7) In the case of a liquidated claim, a claim for an order for interest up to judgment:</w:t>
            </w:r>
          </w:p>
          <w:p w14:paraId="0EFF0909" w14:textId="77777777" w:rsidR="00730E8F" w:rsidRPr="00730E8F" w:rsidRDefault="00730E8F" w:rsidP="004074AC">
            <w:pPr>
              <w:spacing w:before="120" w:after="120"/>
              <w:ind w:left="284"/>
              <w:rPr>
                <w:rFonts w:eastAsia="Times New Roman" w:cstheme="minorHAnsi"/>
                <w:lang w:eastAsia="en-AU"/>
              </w:rPr>
            </w:pPr>
            <w:bookmarkStart w:id="19" w:name="UCPN.UCPR.UCPRN05.R6-12.7.A"/>
            <w:bookmarkEnd w:id="19"/>
            <w:r w:rsidRPr="00730E8F">
              <w:rPr>
                <w:rFonts w:eastAsia="Times New Roman" w:cstheme="minorHAnsi"/>
                <w:lang w:eastAsia="en-AU"/>
              </w:rPr>
              <w:t xml:space="preserve">(a) must specify the period or periods for which </w:t>
            </w:r>
            <w:r w:rsidRPr="00730E8F">
              <w:rPr>
                <w:rFonts w:eastAsia="Times New Roman" w:cstheme="minorHAnsi"/>
                <w:lang w:eastAsia="en-AU"/>
              </w:rPr>
              <w:lastRenderedPageBreak/>
              <w:t>interest is claimed, and</w:t>
            </w:r>
          </w:p>
          <w:p w14:paraId="690A4C59" w14:textId="77777777" w:rsidR="00730E8F" w:rsidRPr="00730E8F" w:rsidRDefault="00730E8F" w:rsidP="004074AC">
            <w:pPr>
              <w:spacing w:before="120" w:after="120"/>
              <w:ind w:left="284"/>
              <w:rPr>
                <w:rFonts w:eastAsia="Times New Roman" w:cstheme="minorHAnsi"/>
                <w:lang w:eastAsia="en-AU"/>
              </w:rPr>
            </w:pPr>
            <w:bookmarkStart w:id="20" w:name="UCPN.UCPR.UCPRN05.R6-12.7.B"/>
            <w:bookmarkEnd w:id="20"/>
            <w:r w:rsidRPr="00730E8F">
              <w:rPr>
                <w:rFonts w:eastAsia="Times New Roman" w:cstheme="minorHAnsi"/>
                <w:lang w:eastAsia="en-AU"/>
              </w:rPr>
              <w:t>(b) </w:t>
            </w:r>
            <w:proofErr w:type="gramStart"/>
            <w:r w:rsidRPr="00730E8F">
              <w:rPr>
                <w:rFonts w:eastAsia="Times New Roman" w:cstheme="minorHAnsi"/>
                <w:lang w:eastAsia="en-AU"/>
              </w:rPr>
              <w:t>must</w:t>
            </w:r>
            <w:proofErr w:type="gramEnd"/>
            <w:r w:rsidRPr="00730E8F">
              <w:rPr>
                <w:rFonts w:eastAsia="Times New Roman" w:cstheme="minorHAnsi"/>
                <w:lang w:eastAsia="en-AU"/>
              </w:rPr>
              <w:t xml:space="preserve"> specify the rate or rates at which interest is claimed.</w:t>
            </w:r>
          </w:p>
          <w:p w14:paraId="4B1FE75F" w14:textId="77777777" w:rsidR="00730E8F" w:rsidRPr="00730E8F" w:rsidRDefault="00730E8F" w:rsidP="004074AC">
            <w:pPr>
              <w:spacing w:before="120" w:after="120"/>
              <w:ind w:left="284"/>
              <w:rPr>
                <w:rFonts w:eastAsia="Times New Roman" w:cstheme="minorHAnsi"/>
                <w:lang w:eastAsia="en-AU"/>
              </w:rPr>
            </w:pPr>
            <w:bookmarkStart w:id="21" w:name="UCPN.UCPR.UCPRN05.R6-12.8"/>
            <w:bookmarkEnd w:id="21"/>
            <w:r w:rsidRPr="00730E8F">
              <w:rPr>
                <w:rFonts w:eastAsia="Times New Roman" w:cstheme="minorHAnsi"/>
                <w:lang w:eastAsia="en-AU"/>
              </w:rPr>
              <w:t xml:space="preserve">(8) If no rate of interest is specified under </w:t>
            </w:r>
            <w:proofErr w:type="spellStart"/>
            <w:r w:rsidRPr="00730E8F">
              <w:rPr>
                <w:rFonts w:eastAsia="Times New Roman" w:cstheme="minorHAnsi"/>
                <w:lang w:eastAsia="en-AU"/>
              </w:rPr>
              <w:t>subrule</w:t>
            </w:r>
            <w:proofErr w:type="spellEnd"/>
            <w:r w:rsidRPr="00730E8F">
              <w:rPr>
                <w:rFonts w:eastAsia="Times New Roman" w:cstheme="minorHAnsi"/>
                <w:lang w:eastAsia="en-AU"/>
              </w:rPr>
              <w:t xml:space="preserve"> (7)(b), the rate at which interest is claimed is taken to be:</w:t>
            </w:r>
          </w:p>
          <w:p w14:paraId="21FBF6B7" w14:textId="77777777" w:rsidR="00730E8F" w:rsidRPr="00730E8F" w:rsidRDefault="00730E8F" w:rsidP="004074AC">
            <w:pPr>
              <w:spacing w:before="120" w:after="120"/>
              <w:ind w:left="284"/>
              <w:rPr>
                <w:rFonts w:eastAsia="Times New Roman" w:cstheme="minorHAnsi"/>
                <w:lang w:eastAsia="en-AU"/>
              </w:rPr>
            </w:pPr>
            <w:bookmarkStart w:id="22" w:name="UCPN.UCPR.UCPRN05.R6-12.8.A"/>
            <w:bookmarkEnd w:id="22"/>
            <w:r w:rsidRPr="00730E8F">
              <w:rPr>
                <w:rFonts w:eastAsia="Times New Roman" w:cstheme="minorHAnsi"/>
                <w:lang w:eastAsia="en-AU"/>
              </w:rPr>
              <w:t>(a) in respect of the period from 1 January to 30 June in any year — the rate that is 4% above the cash rate last published by the Reserve Bank of Australia before that period commenced, and</w:t>
            </w:r>
          </w:p>
          <w:p w14:paraId="5A347DBB" w14:textId="77777777" w:rsidR="00730E8F" w:rsidRPr="00730E8F" w:rsidRDefault="00730E8F" w:rsidP="004074AC">
            <w:pPr>
              <w:spacing w:before="120" w:after="120"/>
              <w:ind w:left="284"/>
              <w:rPr>
                <w:rFonts w:eastAsia="Times New Roman" w:cstheme="minorHAnsi"/>
                <w:lang w:eastAsia="en-AU"/>
              </w:rPr>
            </w:pPr>
            <w:bookmarkStart w:id="23" w:name="UCPN.UCPR.UCPRN05.R6-12.8.B"/>
            <w:bookmarkEnd w:id="23"/>
            <w:r w:rsidRPr="00730E8F">
              <w:rPr>
                <w:rFonts w:eastAsia="Times New Roman" w:cstheme="minorHAnsi"/>
                <w:lang w:eastAsia="en-AU"/>
              </w:rPr>
              <w:t>(b) in respect of the period from 1 July to 31 December in any year — the rate that is 4% above the cash rate last published by the Reserve Bank of Australia before that period commenced.</w:t>
            </w:r>
          </w:p>
          <w:p w14:paraId="2AC85211" w14:textId="77777777" w:rsidR="00730E8F" w:rsidRDefault="004A4AA9" w:rsidP="004074AC">
            <w:pPr>
              <w:spacing w:before="120" w:after="120"/>
              <w:ind w:left="284"/>
              <w:rPr>
                <w:rFonts w:cstheme="minorHAnsi"/>
                <w:b/>
                <w:u w:val="single"/>
              </w:rPr>
            </w:pPr>
            <w:r>
              <w:rPr>
                <w:rFonts w:cstheme="minorHAnsi"/>
                <w:b/>
                <w:u w:val="single"/>
              </w:rPr>
              <w:t>Damages</w:t>
            </w:r>
          </w:p>
          <w:p w14:paraId="62011590" w14:textId="77777777" w:rsidR="004A4AA9" w:rsidRDefault="004A4AA9" w:rsidP="004074AC">
            <w:pPr>
              <w:spacing w:before="120" w:after="120"/>
              <w:ind w:left="284"/>
              <w:rPr>
                <w:rFonts w:cstheme="minorHAnsi"/>
              </w:rPr>
            </w:pPr>
            <w:r>
              <w:rPr>
                <w:rFonts w:cstheme="minorHAnsi"/>
              </w:rPr>
              <w:t>If damages are sought, the pleading should provide particulars of those damages and the basis on which they are calculated. [see part 15 of UCPR for rules on particulars]</w:t>
            </w:r>
          </w:p>
          <w:p w14:paraId="5EA528C7" w14:textId="77777777" w:rsidR="00730E8F" w:rsidRPr="004074AC" w:rsidRDefault="004A4AA9" w:rsidP="004074AC">
            <w:pPr>
              <w:spacing w:before="120" w:after="120"/>
              <w:ind w:left="284"/>
              <w:rPr>
                <w:rFonts w:cstheme="minorHAnsi"/>
              </w:rPr>
            </w:pPr>
            <w:r>
              <w:rPr>
                <w:rFonts w:cstheme="minorHAnsi"/>
              </w:rPr>
              <w:t>Note the requirement to provide certain particulars of a claim for damages for bo</w:t>
            </w:r>
            <w:r w:rsidR="004074AC">
              <w:rPr>
                <w:rFonts w:cstheme="minorHAnsi"/>
              </w:rPr>
              <w:t>dily injury: UCPR r 15.12.</w:t>
            </w:r>
          </w:p>
        </w:tc>
        <w:tc>
          <w:tcPr>
            <w:tcW w:w="1445" w:type="pct"/>
          </w:tcPr>
          <w:p w14:paraId="011A309D" w14:textId="77777777" w:rsidR="00FA7588" w:rsidRDefault="00FA7588" w:rsidP="004074AC">
            <w:pPr>
              <w:spacing w:before="120" w:after="120"/>
              <w:ind w:left="284"/>
              <w:rPr>
                <w:b/>
              </w:rPr>
            </w:pPr>
            <w:r w:rsidRPr="00A70997">
              <w:rPr>
                <w:b/>
              </w:rPr>
              <w:lastRenderedPageBreak/>
              <w:t xml:space="preserve">FCR </w:t>
            </w:r>
            <w:r>
              <w:rPr>
                <w:b/>
              </w:rPr>
              <w:t>16.02(1)(f)</w:t>
            </w:r>
          </w:p>
          <w:p w14:paraId="64C7B41A" w14:textId="77777777" w:rsidR="00FA7588" w:rsidRDefault="00FA7588" w:rsidP="004074AC">
            <w:pPr>
              <w:spacing w:before="120" w:after="120"/>
              <w:ind w:left="284"/>
            </w:pPr>
            <w:r>
              <w:t xml:space="preserve">A pleading must state </w:t>
            </w:r>
            <w:proofErr w:type="gramStart"/>
            <w:r>
              <w:t>the  specific</w:t>
            </w:r>
            <w:proofErr w:type="gramEnd"/>
            <w:r>
              <w:t xml:space="preserve"> relief sought or claimed. </w:t>
            </w:r>
          </w:p>
          <w:p w14:paraId="5C5524B5" w14:textId="77777777" w:rsidR="00843BB1" w:rsidRDefault="00843BB1" w:rsidP="004074AC">
            <w:pPr>
              <w:spacing w:before="120" w:after="120"/>
              <w:ind w:left="284"/>
              <w:rPr>
                <w:b/>
              </w:rPr>
            </w:pPr>
            <w:r w:rsidRPr="00A70997">
              <w:rPr>
                <w:b/>
              </w:rPr>
              <w:t xml:space="preserve">FCR </w:t>
            </w:r>
            <w:r>
              <w:rPr>
                <w:b/>
              </w:rPr>
              <w:t>16.02(4)</w:t>
            </w:r>
          </w:p>
          <w:p w14:paraId="496E2233" w14:textId="77777777" w:rsidR="00843BB1" w:rsidRPr="00843BB1" w:rsidRDefault="00843BB1" w:rsidP="004074AC">
            <w:pPr>
              <w:spacing w:before="120" w:after="120"/>
              <w:ind w:left="284"/>
            </w:pPr>
            <w:r>
              <w:t xml:space="preserve">A party is not entitled to seek any additional relief to the relief that is claimed in the originating application. </w:t>
            </w:r>
          </w:p>
          <w:p w14:paraId="2122CE54" w14:textId="77777777" w:rsidR="008B3064" w:rsidRDefault="008B3064" w:rsidP="004074AC">
            <w:pPr>
              <w:spacing w:before="120" w:after="120"/>
              <w:ind w:left="284"/>
              <w:rPr>
                <w:b/>
              </w:rPr>
            </w:pPr>
            <w:r>
              <w:rPr>
                <w:b/>
              </w:rPr>
              <w:t>See FCR 8.03(1)</w:t>
            </w:r>
          </w:p>
          <w:p w14:paraId="4F523126" w14:textId="77777777" w:rsidR="00843BB1" w:rsidRPr="00FA7588" w:rsidRDefault="00843BB1" w:rsidP="004074AC">
            <w:pPr>
              <w:spacing w:before="120" w:after="120"/>
              <w:ind w:left="284"/>
            </w:pPr>
          </w:p>
          <w:p w14:paraId="1F346755" w14:textId="77777777" w:rsidR="004A4AA9" w:rsidRDefault="004A4AA9" w:rsidP="004074AC">
            <w:pPr>
              <w:spacing w:before="120" w:after="120"/>
              <w:ind w:left="284"/>
              <w:rPr>
                <w:b/>
              </w:rPr>
            </w:pPr>
            <w:r>
              <w:rPr>
                <w:b/>
              </w:rPr>
              <w:t xml:space="preserve">FCR 2011 </w:t>
            </w:r>
            <w:proofErr w:type="spellStart"/>
            <w:r>
              <w:rPr>
                <w:b/>
              </w:rPr>
              <w:t>Div</w:t>
            </w:r>
            <w:proofErr w:type="spellEnd"/>
            <w:r>
              <w:rPr>
                <w:b/>
              </w:rPr>
              <w:t xml:space="preserve"> 16.4 [particulars]</w:t>
            </w:r>
          </w:p>
          <w:p w14:paraId="386CEA44" w14:textId="77777777" w:rsidR="004A4AA9" w:rsidRPr="00730E8F" w:rsidRDefault="004A4AA9" w:rsidP="004074AC">
            <w:pPr>
              <w:spacing w:before="120" w:after="120"/>
              <w:ind w:left="284"/>
              <w:rPr>
                <w:b/>
              </w:rPr>
            </w:pPr>
          </w:p>
        </w:tc>
      </w:tr>
      <w:tr w:rsidR="007A448B" w14:paraId="546E9BD6" w14:textId="77777777">
        <w:tc>
          <w:tcPr>
            <w:tcW w:w="442" w:type="pct"/>
          </w:tcPr>
          <w:p w14:paraId="29E04691" w14:textId="77777777" w:rsidR="007A448B" w:rsidRDefault="007A448B" w:rsidP="004074AC">
            <w:pPr>
              <w:pStyle w:val="ListParagraph"/>
              <w:numPr>
                <w:ilvl w:val="0"/>
                <w:numId w:val="17"/>
              </w:numPr>
              <w:spacing w:before="120" w:after="120"/>
              <w:ind w:left="284"/>
              <w:contextualSpacing w:val="0"/>
              <w:jc w:val="center"/>
            </w:pPr>
          </w:p>
        </w:tc>
        <w:tc>
          <w:tcPr>
            <w:tcW w:w="1457" w:type="pct"/>
          </w:tcPr>
          <w:p w14:paraId="1BFFF4BB" w14:textId="77777777" w:rsidR="007A448B" w:rsidRPr="00730E8F" w:rsidRDefault="00730E8F" w:rsidP="004074AC">
            <w:pPr>
              <w:spacing w:before="120" w:after="120"/>
              <w:ind w:left="284"/>
              <w:rPr>
                <w:b/>
              </w:rPr>
            </w:pPr>
            <w:r>
              <w:rPr>
                <w:b/>
              </w:rPr>
              <w:t>Circumstances court may strike out pleadings</w:t>
            </w:r>
          </w:p>
        </w:tc>
        <w:tc>
          <w:tcPr>
            <w:tcW w:w="1656" w:type="pct"/>
          </w:tcPr>
          <w:p w14:paraId="455C6B6C" w14:textId="77777777" w:rsidR="007A448B" w:rsidRPr="00730E8F" w:rsidRDefault="00730E8F" w:rsidP="004074AC">
            <w:pPr>
              <w:spacing w:before="120" w:after="120"/>
              <w:ind w:left="284"/>
              <w:rPr>
                <w:rFonts w:cstheme="minorHAnsi"/>
                <w:b/>
              </w:rPr>
            </w:pPr>
            <w:r w:rsidRPr="00730E8F">
              <w:rPr>
                <w:rFonts w:cstheme="minorHAnsi"/>
                <w:b/>
              </w:rPr>
              <w:t>R 14.28</w:t>
            </w:r>
          </w:p>
          <w:p w14:paraId="0591DEA3" w14:textId="77777777" w:rsidR="00730E8F" w:rsidRPr="00730E8F" w:rsidRDefault="00730E8F" w:rsidP="004074AC">
            <w:pPr>
              <w:spacing w:before="120" w:after="120"/>
              <w:ind w:left="284"/>
              <w:rPr>
                <w:rFonts w:eastAsia="Times New Roman" w:cstheme="minorHAnsi"/>
                <w:lang w:eastAsia="en-AU"/>
              </w:rPr>
            </w:pPr>
            <w:r w:rsidRPr="00730E8F">
              <w:rPr>
                <w:rFonts w:eastAsia="Times New Roman" w:cstheme="minorHAnsi"/>
                <w:lang w:eastAsia="en-AU"/>
              </w:rPr>
              <w:t>(1) The court may at any stage of the proceedings order that the whole or any part of a pleading be struck out if the pleading:</w:t>
            </w:r>
          </w:p>
          <w:p w14:paraId="4816C2DE" w14:textId="77777777" w:rsidR="00730E8F" w:rsidRPr="00730E8F" w:rsidRDefault="00730E8F" w:rsidP="004074AC">
            <w:pPr>
              <w:spacing w:before="120" w:after="120"/>
              <w:ind w:left="284"/>
              <w:rPr>
                <w:rFonts w:eastAsia="Times New Roman" w:cstheme="minorHAnsi"/>
                <w:lang w:eastAsia="en-AU"/>
              </w:rPr>
            </w:pPr>
            <w:bookmarkStart w:id="24" w:name="UCPN.UCPR.UCPRN05.R14-28.1.A"/>
            <w:bookmarkEnd w:id="24"/>
            <w:r w:rsidRPr="00730E8F">
              <w:rPr>
                <w:rFonts w:eastAsia="Times New Roman" w:cstheme="minorHAnsi"/>
                <w:lang w:eastAsia="en-AU"/>
              </w:rPr>
              <w:t>(a) discloses no reasonable cause of action or defence or other case appropriate to the nature of the pleading, or</w:t>
            </w:r>
          </w:p>
          <w:p w14:paraId="2C3EAC92" w14:textId="77777777" w:rsidR="00730E8F" w:rsidRPr="00730E8F" w:rsidRDefault="00730E8F" w:rsidP="004074AC">
            <w:pPr>
              <w:spacing w:before="120" w:after="120"/>
              <w:ind w:left="284"/>
              <w:rPr>
                <w:rFonts w:eastAsia="Times New Roman" w:cstheme="minorHAnsi"/>
                <w:lang w:eastAsia="en-AU"/>
              </w:rPr>
            </w:pPr>
            <w:bookmarkStart w:id="25" w:name="UCPN.UCPR.UCPRN05.R14-28.1.B"/>
            <w:bookmarkEnd w:id="25"/>
            <w:r w:rsidRPr="00730E8F">
              <w:rPr>
                <w:rFonts w:eastAsia="Times New Roman" w:cstheme="minorHAnsi"/>
                <w:lang w:eastAsia="en-AU"/>
              </w:rPr>
              <w:lastRenderedPageBreak/>
              <w:t>(b) has a tendency to cause prejudice, embarrassment or delay in the proceedings, or</w:t>
            </w:r>
          </w:p>
          <w:p w14:paraId="7B6F226B" w14:textId="77777777" w:rsidR="00730E8F" w:rsidRPr="00730E8F" w:rsidRDefault="00730E8F" w:rsidP="004074AC">
            <w:pPr>
              <w:spacing w:before="120" w:after="120"/>
              <w:ind w:left="284"/>
              <w:rPr>
                <w:rFonts w:eastAsia="Times New Roman" w:cstheme="minorHAnsi"/>
                <w:lang w:eastAsia="en-AU"/>
              </w:rPr>
            </w:pPr>
            <w:bookmarkStart w:id="26" w:name="UCPN.UCPR.UCPRN05.R14-28.1.C"/>
            <w:bookmarkEnd w:id="26"/>
            <w:r w:rsidRPr="00730E8F">
              <w:rPr>
                <w:rFonts w:eastAsia="Times New Roman" w:cstheme="minorHAnsi"/>
                <w:lang w:eastAsia="en-AU"/>
              </w:rPr>
              <w:t>(c) </w:t>
            </w:r>
            <w:proofErr w:type="gramStart"/>
            <w:r w:rsidRPr="00730E8F">
              <w:rPr>
                <w:rFonts w:eastAsia="Times New Roman" w:cstheme="minorHAnsi"/>
                <w:lang w:eastAsia="en-AU"/>
              </w:rPr>
              <w:t>is</w:t>
            </w:r>
            <w:proofErr w:type="gramEnd"/>
            <w:r w:rsidRPr="00730E8F">
              <w:rPr>
                <w:rFonts w:eastAsia="Times New Roman" w:cstheme="minorHAnsi"/>
                <w:lang w:eastAsia="en-AU"/>
              </w:rPr>
              <w:t xml:space="preserve"> otherwise an abuse of the process of the court.</w:t>
            </w:r>
          </w:p>
          <w:p w14:paraId="71886AB7" w14:textId="77777777" w:rsidR="00730E8F" w:rsidRPr="00730E8F" w:rsidRDefault="00730E8F" w:rsidP="004074AC">
            <w:pPr>
              <w:spacing w:before="120" w:after="120"/>
              <w:ind w:left="284"/>
              <w:rPr>
                <w:rFonts w:eastAsia="Times New Roman" w:cstheme="minorHAnsi"/>
                <w:lang w:eastAsia="en-AU"/>
              </w:rPr>
            </w:pPr>
            <w:bookmarkStart w:id="27" w:name="UCPN.UCPR.UCPRN05.R14-28.2"/>
            <w:bookmarkEnd w:id="27"/>
            <w:r w:rsidRPr="00730E8F">
              <w:rPr>
                <w:rFonts w:eastAsia="Times New Roman" w:cstheme="minorHAnsi"/>
                <w:lang w:eastAsia="en-AU"/>
              </w:rPr>
              <w:t xml:space="preserve">(2) The court may receive evidence on the hearing of an application for an order under </w:t>
            </w:r>
            <w:proofErr w:type="spellStart"/>
            <w:r w:rsidRPr="00730E8F">
              <w:rPr>
                <w:rFonts w:eastAsia="Times New Roman" w:cstheme="minorHAnsi"/>
                <w:lang w:eastAsia="en-AU"/>
              </w:rPr>
              <w:t>subrule</w:t>
            </w:r>
            <w:proofErr w:type="spellEnd"/>
            <w:r w:rsidRPr="00730E8F">
              <w:rPr>
                <w:rFonts w:eastAsia="Times New Roman" w:cstheme="minorHAnsi"/>
                <w:lang w:eastAsia="en-AU"/>
              </w:rPr>
              <w:t xml:space="preserve"> (1).</w:t>
            </w:r>
          </w:p>
          <w:p w14:paraId="1972D476" w14:textId="77777777" w:rsidR="00730E8F" w:rsidRPr="00730E8F" w:rsidRDefault="00730E8F" w:rsidP="004074AC">
            <w:pPr>
              <w:spacing w:before="120" w:after="120"/>
              <w:ind w:left="284"/>
              <w:rPr>
                <w:b/>
              </w:rPr>
            </w:pPr>
          </w:p>
        </w:tc>
        <w:tc>
          <w:tcPr>
            <w:tcW w:w="1445" w:type="pct"/>
          </w:tcPr>
          <w:p w14:paraId="654D6E95" w14:textId="77777777" w:rsidR="007A448B" w:rsidRDefault="00B0752D" w:rsidP="004074AC">
            <w:pPr>
              <w:spacing w:before="120" w:after="120"/>
              <w:ind w:left="284"/>
              <w:rPr>
                <w:b/>
              </w:rPr>
            </w:pPr>
            <w:r>
              <w:rPr>
                <w:b/>
              </w:rPr>
              <w:lastRenderedPageBreak/>
              <w:t>FCR 16.21(1)</w:t>
            </w:r>
          </w:p>
          <w:p w14:paraId="6698416A" w14:textId="77777777" w:rsidR="00B0752D" w:rsidRDefault="00B0752D" w:rsidP="004074AC">
            <w:pPr>
              <w:spacing w:before="120" w:after="120"/>
              <w:ind w:left="284"/>
              <w:rPr>
                <w:rStyle w:val="verdana"/>
              </w:rPr>
            </w:pPr>
            <w:r>
              <w:rPr>
                <w:rStyle w:val="verdana"/>
              </w:rPr>
              <w:t>A party may apply to the Court for an order that all or part of a pleading be struck out on the ground that the pleading:</w:t>
            </w:r>
          </w:p>
          <w:p w14:paraId="7A125FF0" w14:textId="77777777" w:rsidR="00B0752D" w:rsidRPr="00B0752D" w:rsidRDefault="00B0752D" w:rsidP="004074AC">
            <w:pPr>
              <w:spacing w:before="120" w:after="120"/>
              <w:ind w:left="284"/>
              <w:rPr>
                <w:rFonts w:eastAsia="Times New Roman" w:cstheme="minorHAnsi"/>
                <w:lang w:eastAsia="en-AU"/>
              </w:rPr>
            </w:pPr>
            <w:r w:rsidRPr="00B0752D">
              <w:rPr>
                <w:rFonts w:eastAsia="Times New Roman" w:cstheme="minorHAnsi"/>
                <w:lang w:eastAsia="en-AU"/>
              </w:rPr>
              <w:t>(a) contains scandalous material; or</w:t>
            </w:r>
          </w:p>
          <w:p w14:paraId="2DF771A0" w14:textId="77777777" w:rsidR="00B0752D" w:rsidRPr="00B0752D" w:rsidRDefault="00B0752D" w:rsidP="004074AC">
            <w:pPr>
              <w:spacing w:before="120" w:after="120"/>
              <w:ind w:left="284"/>
              <w:rPr>
                <w:rFonts w:eastAsia="Times New Roman" w:cstheme="minorHAnsi"/>
                <w:lang w:eastAsia="en-AU"/>
              </w:rPr>
            </w:pPr>
            <w:bookmarkStart w:id="28" w:name="WRL.RU.FCR11.R16-21.1.B"/>
            <w:bookmarkEnd w:id="28"/>
            <w:r w:rsidRPr="00B0752D">
              <w:rPr>
                <w:rFonts w:eastAsia="Times New Roman" w:cstheme="minorHAnsi"/>
                <w:lang w:eastAsia="en-AU"/>
              </w:rPr>
              <w:t xml:space="preserve">(b) contains frivolous or vexatious </w:t>
            </w:r>
            <w:r w:rsidRPr="00B0752D">
              <w:rPr>
                <w:rFonts w:eastAsia="Times New Roman" w:cstheme="minorHAnsi"/>
                <w:lang w:eastAsia="en-AU"/>
              </w:rPr>
              <w:lastRenderedPageBreak/>
              <w:t>material; or</w:t>
            </w:r>
          </w:p>
          <w:p w14:paraId="08CECF49" w14:textId="77777777" w:rsidR="00B0752D" w:rsidRPr="00B0752D" w:rsidRDefault="00B0752D" w:rsidP="004074AC">
            <w:pPr>
              <w:spacing w:before="120" w:after="120"/>
              <w:ind w:left="284"/>
              <w:rPr>
                <w:rFonts w:eastAsia="Times New Roman" w:cstheme="minorHAnsi"/>
                <w:lang w:eastAsia="en-AU"/>
              </w:rPr>
            </w:pPr>
            <w:bookmarkStart w:id="29" w:name="WRL.RU.FCR11.R16-21.1.C"/>
            <w:bookmarkEnd w:id="29"/>
            <w:r w:rsidRPr="00B0752D">
              <w:rPr>
                <w:rFonts w:eastAsia="Times New Roman" w:cstheme="minorHAnsi"/>
                <w:lang w:eastAsia="en-AU"/>
              </w:rPr>
              <w:t>(c) is evasive or ambiguous; or</w:t>
            </w:r>
          </w:p>
          <w:p w14:paraId="00F2D3ED" w14:textId="77777777" w:rsidR="00B0752D" w:rsidRPr="00B0752D" w:rsidRDefault="00B0752D" w:rsidP="004074AC">
            <w:pPr>
              <w:spacing w:before="120" w:after="120"/>
              <w:ind w:left="284"/>
              <w:rPr>
                <w:rFonts w:eastAsia="Times New Roman" w:cstheme="minorHAnsi"/>
                <w:lang w:eastAsia="en-AU"/>
              </w:rPr>
            </w:pPr>
            <w:bookmarkStart w:id="30" w:name="WRL.RU.FCR11.R16-21.1.D"/>
            <w:bookmarkEnd w:id="30"/>
            <w:r w:rsidRPr="00B0752D">
              <w:rPr>
                <w:rFonts w:eastAsia="Times New Roman" w:cstheme="minorHAnsi"/>
                <w:lang w:eastAsia="en-AU"/>
              </w:rPr>
              <w:t>(d) is likely to cause prejudice, embarrassment or delay in the proceeding; or</w:t>
            </w:r>
          </w:p>
          <w:p w14:paraId="7EB8EB9B" w14:textId="77777777" w:rsidR="00B0752D" w:rsidRPr="00B0752D" w:rsidRDefault="00B0752D" w:rsidP="004074AC">
            <w:pPr>
              <w:spacing w:before="120" w:after="120"/>
              <w:ind w:left="284"/>
              <w:rPr>
                <w:rFonts w:eastAsia="Times New Roman" w:cstheme="minorHAnsi"/>
                <w:lang w:eastAsia="en-AU"/>
              </w:rPr>
            </w:pPr>
            <w:bookmarkStart w:id="31" w:name="WRL.RU.FCR11.R16-21.1.E"/>
            <w:bookmarkEnd w:id="31"/>
            <w:r w:rsidRPr="00B0752D">
              <w:rPr>
                <w:rFonts w:eastAsia="Times New Roman" w:cstheme="minorHAnsi"/>
                <w:lang w:eastAsia="en-AU"/>
              </w:rPr>
              <w:t>(e) fails to disclose a reasonable cause of action or defence or other case appropriate to the nature of the pleading; or</w:t>
            </w:r>
          </w:p>
          <w:p w14:paraId="1733A893" w14:textId="77777777" w:rsidR="00B0752D" w:rsidRPr="00B0752D" w:rsidRDefault="00B0752D" w:rsidP="004074AC">
            <w:pPr>
              <w:spacing w:before="120" w:after="120"/>
              <w:ind w:left="284"/>
              <w:rPr>
                <w:rFonts w:eastAsia="Times New Roman" w:cstheme="minorHAnsi"/>
                <w:lang w:eastAsia="en-AU"/>
              </w:rPr>
            </w:pPr>
            <w:bookmarkStart w:id="32" w:name="WRL.RU.FCR11.R16-21.1.F"/>
            <w:bookmarkEnd w:id="32"/>
            <w:r w:rsidRPr="00B0752D">
              <w:rPr>
                <w:rFonts w:eastAsia="Times New Roman" w:cstheme="minorHAnsi"/>
                <w:lang w:eastAsia="en-AU"/>
              </w:rPr>
              <w:t>(f) </w:t>
            </w:r>
            <w:proofErr w:type="gramStart"/>
            <w:r w:rsidRPr="00B0752D">
              <w:rPr>
                <w:rFonts w:eastAsia="Times New Roman" w:cstheme="minorHAnsi"/>
                <w:lang w:eastAsia="en-AU"/>
              </w:rPr>
              <w:t>is</w:t>
            </w:r>
            <w:proofErr w:type="gramEnd"/>
            <w:r w:rsidRPr="00B0752D">
              <w:rPr>
                <w:rFonts w:eastAsia="Times New Roman" w:cstheme="minorHAnsi"/>
                <w:lang w:eastAsia="en-AU"/>
              </w:rPr>
              <w:t xml:space="preserve"> otherwise an abuse of the process of the Court.</w:t>
            </w:r>
          </w:p>
          <w:p w14:paraId="33D6D9CF" w14:textId="77777777" w:rsidR="00B0752D" w:rsidRPr="00B0752D" w:rsidRDefault="00B0752D" w:rsidP="004074AC">
            <w:pPr>
              <w:spacing w:before="120" w:after="120"/>
              <w:ind w:left="284"/>
              <w:rPr>
                <w:b/>
              </w:rPr>
            </w:pPr>
          </w:p>
        </w:tc>
      </w:tr>
      <w:tr w:rsidR="007A448B" w14:paraId="5FCD978A" w14:textId="77777777">
        <w:tc>
          <w:tcPr>
            <w:tcW w:w="442" w:type="pct"/>
          </w:tcPr>
          <w:p w14:paraId="325D3F14" w14:textId="77777777" w:rsidR="007A448B" w:rsidRDefault="007A448B" w:rsidP="004074AC">
            <w:pPr>
              <w:pStyle w:val="ListParagraph"/>
              <w:numPr>
                <w:ilvl w:val="0"/>
                <w:numId w:val="17"/>
              </w:numPr>
              <w:spacing w:before="120" w:after="120"/>
              <w:ind w:left="284"/>
              <w:contextualSpacing w:val="0"/>
              <w:jc w:val="center"/>
            </w:pPr>
          </w:p>
        </w:tc>
        <w:tc>
          <w:tcPr>
            <w:tcW w:w="1457" w:type="pct"/>
          </w:tcPr>
          <w:p w14:paraId="3E49B00B" w14:textId="77777777" w:rsidR="007A448B" w:rsidRPr="004A4AA9" w:rsidRDefault="004A4AA9" w:rsidP="004074AC">
            <w:pPr>
              <w:spacing w:before="120" w:after="120"/>
              <w:ind w:left="284"/>
              <w:rPr>
                <w:b/>
              </w:rPr>
            </w:pPr>
            <w:r>
              <w:rPr>
                <w:b/>
              </w:rPr>
              <w:t>Particulars</w:t>
            </w:r>
          </w:p>
        </w:tc>
        <w:tc>
          <w:tcPr>
            <w:tcW w:w="1656" w:type="pct"/>
          </w:tcPr>
          <w:p w14:paraId="2BF35E4E" w14:textId="77777777" w:rsidR="007A448B" w:rsidRDefault="004A4AA9" w:rsidP="004074AC">
            <w:pPr>
              <w:spacing w:before="120" w:after="120"/>
              <w:ind w:left="284"/>
              <w:rPr>
                <w:b/>
              </w:rPr>
            </w:pPr>
            <w:r>
              <w:rPr>
                <w:b/>
              </w:rPr>
              <w:t xml:space="preserve">R </w:t>
            </w:r>
            <w:r w:rsidR="006B4275">
              <w:rPr>
                <w:b/>
              </w:rPr>
              <w:t>15.1</w:t>
            </w:r>
            <w:r w:rsidR="00E17E04">
              <w:rPr>
                <w:b/>
              </w:rPr>
              <w:t xml:space="preserve"> Pleadings must give all necessary particulars</w:t>
            </w:r>
          </w:p>
          <w:p w14:paraId="327594AD" w14:textId="77777777" w:rsidR="00053864" w:rsidRDefault="004F6362" w:rsidP="00053864">
            <w:pPr>
              <w:spacing w:before="120" w:after="120"/>
              <w:ind w:left="284"/>
              <w:rPr>
                <w:rStyle w:val="verdana"/>
              </w:rPr>
            </w:pPr>
            <w:r w:rsidRPr="004F6362">
              <w:t xml:space="preserve">(1) Subject to this part, </w:t>
            </w:r>
            <w:r w:rsidRPr="004F6362">
              <w:rPr>
                <w:rStyle w:val="verdana"/>
              </w:rPr>
              <w:t xml:space="preserve">a </w:t>
            </w:r>
            <w:r>
              <w:rPr>
                <w:rStyle w:val="verdana"/>
              </w:rPr>
              <w:t>pleading must give such particulars of any claim, defence or other matter pleaded by the party as are necessary to enable the opposite party to identify the case that the pleading requires him or her to meet.</w:t>
            </w:r>
          </w:p>
          <w:p w14:paraId="63D58F7B" w14:textId="77777777" w:rsidR="00053864" w:rsidRDefault="00053864" w:rsidP="00053864">
            <w:pPr>
              <w:spacing w:before="120" w:after="120"/>
              <w:ind w:left="284"/>
              <w:rPr>
                <w:rStyle w:val="verdana"/>
              </w:rPr>
            </w:pPr>
            <w:r>
              <w:rPr>
                <w:rStyle w:val="verdana"/>
              </w:rPr>
              <w:t xml:space="preserve">(2) </w:t>
            </w:r>
            <w:proofErr w:type="spellStart"/>
            <w:r>
              <w:rPr>
                <w:rStyle w:val="verdana"/>
              </w:rPr>
              <w:t>Subrule</w:t>
            </w:r>
            <w:proofErr w:type="spellEnd"/>
            <w:r>
              <w:rPr>
                <w:rStyle w:val="verdana"/>
              </w:rPr>
              <w:t xml:space="preserve"> (1) does not require a pleading to give particulars of any claim for interest up to judgment other than those required by </w:t>
            </w:r>
            <w:r w:rsidRPr="00053864">
              <w:rPr>
                <w:rStyle w:val="verdana"/>
              </w:rPr>
              <w:t>rule 6.12(7)</w:t>
            </w:r>
            <w:r>
              <w:rPr>
                <w:rStyle w:val="verdana"/>
              </w:rPr>
              <w:t>.</w:t>
            </w:r>
          </w:p>
          <w:p w14:paraId="12EE4B56" w14:textId="77777777" w:rsidR="00053864" w:rsidRDefault="00642F38" w:rsidP="00053864">
            <w:pPr>
              <w:spacing w:before="120" w:after="120"/>
              <w:ind w:left="284"/>
              <w:rPr>
                <w:rStyle w:val="verdana"/>
              </w:rPr>
            </w:pPr>
            <w:r>
              <w:rPr>
                <w:rStyle w:val="verdana"/>
                <w:b/>
              </w:rPr>
              <w:t>R 15.9 Manner of giving particulars</w:t>
            </w:r>
          </w:p>
          <w:p w14:paraId="5ACCDA10" w14:textId="77777777" w:rsidR="00642F38" w:rsidRDefault="00642F38" w:rsidP="00053864">
            <w:pPr>
              <w:spacing w:before="120" w:after="120"/>
              <w:ind w:left="284"/>
              <w:rPr>
                <w:rStyle w:val="verdana"/>
              </w:rPr>
            </w:pPr>
            <w:r>
              <w:rPr>
                <w:rStyle w:val="verdana"/>
              </w:rPr>
              <w:t>The particulars to be given by a pleading must be set out in the pleading or, if that is inconvenient, must be set out in a separate document referred to in the pleading and filed with the pleading.</w:t>
            </w:r>
          </w:p>
          <w:p w14:paraId="7FD67E03" w14:textId="77777777" w:rsidR="00642F38" w:rsidRDefault="00642F38" w:rsidP="005659DD">
            <w:pPr>
              <w:spacing w:before="120" w:after="120"/>
              <w:ind w:left="284"/>
              <w:rPr>
                <w:rStyle w:val="verdana"/>
              </w:rPr>
            </w:pPr>
            <w:r>
              <w:rPr>
                <w:rStyle w:val="verdana"/>
                <w:b/>
              </w:rPr>
              <w:t>R 15.10 Court may order particulars</w:t>
            </w:r>
          </w:p>
          <w:p w14:paraId="62AD3000" w14:textId="77777777" w:rsidR="00642F38" w:rsidRDefault="00642F38" w:rsidP="00642F38">
            <w:pPr>
              <w:pStyle w:val="ListParagraph"/>
              <w:numPr>
                <w:ilvl w:val="0"/>
                <w:numId w:val="42"/>
              </w:numPr>
              <w:spacing w:before="120" w:after="120"/>
              <w:rPr>
                <w:rStyle w:val="verdana"/>
              </w:rPr>
            </w:pPr>
            <w:r>
              <w:rPr>
                <w:rStyle w:val="verdana"/>
              </w:rPr>
              <w:lastRenderedPageBreak/>
              <w:t>The court may order a party to file:</w:t>
            </w:r>
          </w:p>
          <w:p w14:paraId="29175408" w14:textId="77777777" w:rsidR="00642F38" w:rsidRDefault="00642F38" w:rsidP="00642F38">
            <w:pPr>
              <w:pStyle w:val="ListParagraph"/>
              <w:numPr>
                <w:ilvl w:val="1"/>
                <w:numId w:val="42"/>
              </w:numPr>
              <w:spacing w:before="120" w:after="120"/>
              <w:rPr>
                <w:rStyle w:val="verdana"/>
              </w:rPr>
            </w:pPr>
            <w:r>
              <w:rPr>
                <w:rStyle w:val="verdana"/>
              </w:rPr>
              <w:t>particulars of any claim, defence or other matter stated in the party’s pleading or in any affidavit relevant to the proceedings, or</w:t>
            </w:r>
          </w:p>
          <w:p w14:paraId="7EFF7D2F" w14:textId="77777777" w:rsidR="00642F38" w:rsidRDefault="00642F38" w:rsidP="00642F38">
            <w:pPr>
              <w:pStyle w:val="ListParagraph"/>
              <w:numPr>
                <w:ilvl w:val="1"/>
                <w:numId w:val="42"/>
              </w:numPr>
              <w:spacing w:before="120" w:after="120"/>
              <w:rPr>
                <w:rStyle w:val="verdana"/>
              </w:rPr>
            </w:pPr>
            <w:r>
              <w:rPr>
                <w:rStyle w:val="verdana"/>
              </w:rPr>
              <w:t>a statement of the nature of the case on which the party relies, or</w:t>
            </w:r>
          </w:p>
          <w:p w14:paraId="2A7282D0" w14:textId="77777777" w:rsidR="00642F38" w:rsidRDefault="00642F38" w:rsidP="00642F38">
            <w:pPr>
              <w:pStyle w:val="ListParagraph"/>
              <w:numPr>
                <w:ilvl w:val="1"/>
                <w:numId w:val="42"/>
              </w:numPr>
              <w:spacing w:before="120" w:after="120"/>
              <w:rPr>
                <w:rStyle w:val="verdana"/>
              </w:rPr>
            </w:pPr>
            <w:proofErr w:type="gramStart"/>
            <w:r>
              <w:rPr>
                <w:rStyle w:val="verdana"/>
              </w:rPr>
              <w:t>if</w:t>
            </w:r>
            <w:proofErr w:type="gramEnd"/>
            <w:r>
              <w:rPr>
                <w:rStyle w:val="verdana"/>
              </w:rPr>
              <w:t xml:space="preserve"> the party claims damages, particulars relating to general or other damages.</w:t>
            </w:r>
          </w:p>
          <w:p w14:paraId="06114074" w14:textId="77777777" w:rsidR="00642F38" w:rsidRDefault="00642F38" w:rsidP="00642F38">
            <w:pPr>
              <w:pStyle w:val="ListParagraph"/>
              <w:numPr>
                <w:ilvl w:val="0"/>
                <w:numId w:val="42"/>
              </w:numPr>
              <w:spacing w:before="120" w:after="120"/>
              <w:rPr>
                <w:rStyle w:val="verdana"/>
              </w:rPr>
            </w:pPr>
            <w:r>
              <w:rPr>
                <w:rStyle w:val="verdana"/>
              </w:rPr>
              <w:t xml:space="preserve">Without limiting </w:t>
            </w:r>
            <w:proofErr w:type="spellStart"/>
            <w:r>
              <w:rPr>
                <w:rStyle w:val="verdana"/>
              </w:rPr>
              <w:t>subrule</w:t>
            </w:r>
            <w:proofErr w:type="spellEnd"/>
            <w:r>
              <w:rPr>
                <w:rStyle w:val="verdana"/>
              </w:rPr>
              <w:t xml:space="preserve"> (1), if a pleading alleges that a person had knowledge or notice of some fact, matter or thing, the court may order that party to file:</w:t>
            </w:r>
          </w:p>
          <w:p w14:paraId="5EE26247" w14:textId="77777777" w:rsidR="00642F38" w:rsidRDefault="00642F38" w:rsidP="00642F38">
            <w:pPr>
              <w:pStyle w:val="ListParagraph"/>
              <w:numPr>
                <w:ilvl w:val="1"/>
                <w:numId w:val="42"/>
              </w:numPr>
              <w:spacing w:before="120" w:after="120"/>
              <w:rPr>
                <w:rStyle w:val="verdana"/>
              </w:rPr>
            </w:pPr>
            <w:r>
              <w:rPr>
                <w:rStyle w:val="verdana"/>
              </w:rPr>
              <w:t>if the pleading alleges knowledge, particulars of the facts on which that party relies, and</w:t>
            </w:r>
          </w:p>
          <w:p w14:paraId="2DE12A37" w14:textId="77777777" w:rsidR="00642F38" w:rsidRDefault="00642F38" w:rsidP="00642F38">
            <w:pPr>
              <w:pStyle w:val="ListParagraph"/>
              <w:numPr>
                <w:ilvl w:val="1"/>
                <w:numId w:val="42"/>
              </w:numPr>
              <w:spacing w:before="120" w:after="120"/>
              <w:rPr>
                <w:rStyle w:val="verdana"/>
              </w:rPr>
            </w:pPr>
            <w:proofErr w:type="gramStart"/>
            <w:r>
              <w:rPr>
                <w:rStyle w:val="verdana"/>
              </w:rPr>
              <w:t>if</w:t>
            </w:r>
            <w:proofErr w:type="gramEnd"/>
            <w:r>
              <w:rPr>
                <w:rStyle w:val="verdana"/>
              </w:rPr>
              <w:t xml:space="preserve"> the pleading alleges notice, particulars of the notice.</w:t>
            </w:r>
          </w:p>
          <w:p w14:paraId="321D5374" w14:textId="77777777" w:rsidR="00642F38" w:rsidRPr="00642F38" w:rsidRDefault="00642F38" w:rsidP="00581EC3">
            <w:pPr>
              <w:spacing w:before="120" w:after="120"/>
              <w:rPr>
                <w:rStyle w:val="verdana"/>
              </w:rPr>
            </w:pPr>
            <w:r>
              <w:rPr>
                <w:rStyle w:val="verdana"/>
                <w:b/>
              </w:rPr>
              <w:t>SPECIFIC PARTICULARS TO BE GIVEN INCLUDE:</w:t>
            </w:r>
          </w:p>
          <w:p w14:paraId="2A1749F5" w14:textId="77777777" w:rsidR="00053864" w:rsidRDefault="00053864" w:rsidP="00053864">
            <w:pPr>
              <w:spacing w:before="120" w:after="120"/>
              <w:ind w:left="284"/>
              <w:rPr>
                <w:rStyle w:val="verdana"/>
              </w:rPr>
            </w:pPr>
            <w:r>
              <w:rPr>
                <w:rStyle w:val="verdana"/>
                <w:b/>
                <w:u w:val="single"/>
              </w:rPr>
              <w:t>Building, technical and other cases</w:t>
            </w:r>
          </w:p>
          <w:p w14:paraId="5A7CF40D" w14:textId="77777777" w:rsidR="00053864" w:rsidRDefault="00053864" w:rsidP="00053864">
            <w:pPr>
              <w:spacing w:before="120" w:after="120"/>
              <w:ind w:left="284"/>
              <w:rPr>
                <w:rStyle w:val="verdana"/>
              </w:rPr>
            </w:pPr>
            <w:r>
              <w:rPr>
                <w:rStyle w:val="verdana"/>
                <w:b/>
              </w:rPr>
              <w:t>R 15.2</w:t>
            </w:r>
          </w:p>
          <w:p w14:paraId="06AB6B78" w14:textId="77777777" w:rsidR="00053864" w:rsidRDefault="00053864" w:rsidP="00053864">
            <w:pPr>
              <w:pStyle w:val="ListParagraph"/>
              <w:numPr>
                <w:ilvl w:val="0"/>
                <w:numId w:val="37"/>
              </w:numPr>
              <w:spacing w:before="120" w:after="120"/>
              <w:rPr>
                <w:rStyle w:val="verdana"/>
              </w:rPr>
            </w:pPr>
            <w:r>
              <w:rPr>
                <w:rStyle w:val="verdana"/>
              </w:rPr>
              <w:t>In proceedings involving a building, technical or other matter in which several items of a claim are in dispute as to liability or amount, or both, the party making the claim may, and if the court so orders must, prepare and file a “Scott Schedule” in the approved form.</w:t>
            </w:r>
          </w:p>
          <w:p w14:paraId="79469EC6" w14:textId="77777777" w:rsidR="00053864" w:rsidRDefault="00053864" w:rsidP="00053864">
            <w:pPr>
              <w:pStyle w:val="ListParagraph"/>
              <w:numPr>
                <w:ilvl w:val="0"/>
                <w:numId w:val="37"/>
              </w:numPr>
              <w:spacing w:before="120" w:after="120"/>
              <w:rPr>
                <w:rStyle w:val="verdana"/>
              </w:rPr>
            </w:pPr>
            <w:r>
              <w:rPr>
                <w:rStyle w:val="verdana"/>
              </w:rPr>
              <w:t>A party on whom a Scott Schedule is served must complete and file the Schedule.</w:t>
            </w:r>
          </w:p>
          <w:p w14:paraId="25461D60" w14:textId="77777777" w:rsidR="00053864" w:rsidRDefault="00053864" w:rsidP="00053864">
            <w:pPr>
              <w:spacing w:before="120" w:after="120"/>
              <w:ind w:left="381"/>
              <w:rPr>
                <w:rStyle w:val="verdana"/>
              </w:rPr>
            </w:pPr>
            <w:r>
              <w:rPr>
                <w:rStyle w:val="verdana"/>
                <w:b/>
                <w:u w:val="single"/>
              </w:rPr>
              <w:t>Allegations of behaviour in the nature of fraud</w:t>
            </w:r>
          </w:p>
          <w:p w14:paraId="0DE1A0B4" w14:textId="77777777" w:rsidR="00053864" w:rsidRDefault="00053864" w:rsidP="00053864">
            <w:pPr>
              <w:spacing w:before="120" w:after="120"/>
              <w:ind w:left="381"/>
              <w:rPr>
                <w:rStyle w:val="verdana"/>
              </w:rPr>
            </w:pPr>
            <w:r>
              <w:rPr>
                <w:rStyle w:val="verdana"/>
                <w:b/>
              </w:rPr>
              <w:t>R 15.3</w:t>
            </w:r>
          </w:p>
          <w:p w14:paraId="23DECF0B" w14:textId="77777777" w:rsidR="00053864" w:rsidRDefault="00053864" w:rsidP="00053864">
            <w:pPr>
              <w:spacing w:before="120" w:after="120"/>
              <w:ind w:left="381"/>
              <w:rPr>
                <w:rStyle w:val="verdana"/>
              </w:rPr>
            </w:pPr>
            <w:r>
              <w:rPr>
                <w:rStyle w:val="verdana"/>
              </w:rPr>
              <w:lastRenderedPageBreak/>
              <w:t>A pleading must give particulars of any fraud, misrepresentation, breach of trust, wilful default or undue influence on which the party relies.</w:t>
            </w:r>
          </w:p>
          <w:p w14:paraId="35B98E92" w14:textId="77777777" w:rsidR="00053864" w:rsidRDefault="00053864" w:rsidP="00053864">
            <w:pPr>
              <w:spacing w:before="120" w:after="120"/>
              <w:ind w:left="381"/>
              <w:rPr>
                <w:rStyle w:val="verdana"/>
              </w:rPr>
            </w:pPr>
            <w:r>
              <w:rPr>
                <w:rStyle w:val="verdana"/>
                <w:b/>
                <w:u w:val="single"/>
              </w:rPr>
              <w:t>Allegations as to condition of mind</w:t>
            </w:r>
          </w:p>
          <w:p w14:paraId="2A9F4C02" w14:textId="77777777" w:rsidR="00053864" w:rsidRDefault="00053864" w:rsidP="00053864">
            <w:pPr>
              <w:spacing w:before="120" w:after="120"/>
              <w:ind w:left="381"/>
              <w:rPr>
                <w:rStyle w:val="verdana"/>
              </w:rPr>
            </w:pPr>
            <w:r>
              <w:rPr>
                <w:rStyle w:val="verdana"/>
                <w:b/>
              </w:rPr>
              <w:t>R 15.4</w:t>
            </w:r>
          </w:p>
          <w:p w14:paraId="3C33C1D1" w14:textId="77777777" w:rsidR="00053864" w:rsidRDefault="00053864" w:rsidP="00053864">
            <w:pPr>
              <w:pStyle w:val="ListParagraph"/>
              <w:numPr>
                <w:ilvl w:val="0"/>
                <w:numId w:val="38"/>
              </w:numPr>
              <w:spacing w:before="120" w:after="120"/>
              <w:rPr>
                <w:rStyle w:val="verdana"/>
              </w:rPr>
            </w:pPr>
            <w:r>
              <w:rPr>
                <w:rStyle w:val="verdana"/>
              </w:rPr>
              <w:t>A pleading that alleges any condition of mind must give particulars of the facts on which the party pleading relies.</w:t>
            </w:r>
          </w:p>
          <w:p w14:paraId="289F47A5" w14:textId="77777777" w:rsidR="00A37C1B" w:rsidRDefault="00053864" w:rsidP="00053864">
            <w:pPr>
              <w:pStyle w:val="ListParagraph"/>
              <w:numPr>
                <w:ilvl w:val="0"/>
                <w:numId w:val="38"/>
              </w:numPr>
              <w:spacing w:before="120" w:after="120"/>
              <w:rPr>
                <w:rStyle w:val="verdana"/>
              </w:rPr>
            </w:pPr>
            <w:r>
              <w:rPr>
                <w:rStyle w:val="verdana"/>
              </w:rPr>
              <w:t xml:space="preserve">In </w:t>
            </w:r>
            <w:proofErr w:type="spellStart"/>
            <w:r>
              <w:rPr>
                <w:rStyle w:val="verdana"/>
              </w:rPr>
              <w:t>subrule</w:t>
            </w:r>
            <w:proofErr w:type="spellEnd"/>
            <w:r>
              <w:rPr>
                <w:rStyle w:val="verdana"/>
              </w:rPr>
              <w:t xml:space="preserve"> (1), </w:t>
            </w:r>
            <w:r w:rsidRPr="00053864">
              <w:rPr>
                <w:rStyle w:val="bold"/>
                <w:b/>
              </w:rPr>
              <w:t>condition of mind</w:t>
            </w:r>
            <w:r>
              <w:rPr>
                <w:rStyle w:val="verdana"/>
              </w:rPr>
              <w:t xml:space="preserve"> includes any disorder or disability of mind, any malice and any fraudulent intention, but does not include knowledge. [Note: this is a wide term that not only includes physiological and psychological disorders or disabilities that significantly affect</w:t>
            </w:r>
            <w:r w:rsidR="00581EC3">
              <w:rPr>
                <w:rStyle w:val="verdana"/>
              </w:rPr>
              <w:t>s</w:t>
            </w:r>
            <w:r>
              <w:rPr>
                <w:rStyle w:val="verdana"/>
              </w:rPr>
              <w:t xml:space="preserve"> a person’s capacity to reason and understand but also includes states of mind, such as malice and intention. “Good faith” may be relied as affirmative defence, and if so, particulars are required.]</w:t>
            </w:r>
          </w:p>
          <w:p w14:paraId="018C3AD2" w14:textId="77777777" w:rsidR="00053864" w:rsidRPr="00053864" w:rsidRDefault="00053864" w:rsidP="00A37C1B">
            <w:pPr>
              <w:pStyle w:val="ListParagraph"/>
              <w:spacing w:before="120" w:after="120"/>
              <w:ind w:left="741"/>
              <w:rPr>
                <w:rStyle w:val="verdana"/>
              </w:rPr>
            </w:pPr>
          </w:p>
          <w:p w14:paraId="7BB92E67" w14:textId="77777777" w:rsidR="00053864" w:rsidRDefault="00053864" w:rsidP="00053864">
            <w:pPr>
              <w:spacing w:before="120" w:after="120"/>
              <w:ind w:left="284"/>
              <w:rPr>
                <w:rStyle w:val="verdana"/>
              </w:rPr>
            </w:pPr>
            <w:r>
              <w:rPr>
                <w:rStyle w:val="verdana"/>
                <w:b/>
                <w:u w:val="single"/>
              </w:rPr>
              <w:t>Allegations of negligence and breach of statutory duty in common law claims in tort</w:t>
            </w:r>
          </w:p>
          <w:p w14:paraId="0A361464" w14:textId="77777777" w:rsidR="00053864" w:rsidRDefault="00053864" w:rsidP="00053864">
            <w:pPr>
              <w:spacing w:before="120" w:after="120"/>
              <w:ind w:left="284"/>
              <w:rPr>
                <w:rStyle w:val="verdana"/>
              </w:rPr>
            </w:pPr>
            <w:r>
              <w:rPr>
                <w:rStyle w:val="verdana"/>
                <w:b/>
              </w:rPr>
              <w:t xml:space="preserve">R 15.5 </w:t>
            </w:r>
          </w:p>
          <w:p w14:paraId="57B8FFCB" w14:textId="77777777" w:rsidR="00053864" w:rsidRDefault="00053864" w:rsidP="00053864">
            <w:pPr>
              <w:pStyle w:val="ListParagraph"/>
              <w:numPr>
                <w:ilvl w:val="0"/>
                <w:numId w:val="39"/>
              </w:numPr>
              <w:spacing w:before="120" w:after="120"/>
              <w:rPr>
                <w:rStyle w:val="verdana"/>
              </w:rPr>
            </w:pPr>
            <w:r>
              <w:rPr>
                <w:rStyle w:val="verdana"/>
              </w:rPr>
              <w:t>The particulars to be given by a pleading that alleges negligence (whether contributory or otherwise):</w:t>
            </w:r>
          </w:p>
          <w:p w14:paraId="6F39E2D0" w14:textId="77777777" w:rsidR="00053864" w:rsidRDefault="00053864" w:rsidP="00053864">
            <w:pPr>
              <w:pStyle w:val="ListParagraph"/>
              <w:numPr>
                <w:ilvl w:val="1"/>
                <w:numId w:val="39"/>
              </w:numPr>
              <w:spacing w:before="120" w:after="120"/>
              <w:rPr>
                <w:rStyle w:val="verdana"/>
              </w:rPr>
            </w:pPr>
            <w:r>
              <w:rPr>
                <w:rStyle w:val="verdana"/>
              </w:rPr>
              <w:t>must state the facts and circumstances on which the party pleading relies as constituting the alleged negligent act or omission, and</w:t>
            </w:r>
          </w:p>
          <w:p w14:paraId="1ABF3E20" w14:textId="77777777" w:rsidR="00053864" w:rsidRDefault="00053864" w:rsidP="00053864">
            <w:pPr>
              <w:pStyle w:val="ListParagraph"/>
              <w:numPr>
                <w:ilvl w:val="1"/>
                <w:numId w:val="39"/>
              </w:numPr>
              <w:spacing w:before="120" w:after="120"/>
              <w:rPr>
                <w:rStyle w:val="verdana"/>
              </w:rPr>
            </w:pPr>
            <w:r>
              <w:rPr>
                <w:rStyle w:val="verdana"/>
              </w:rPr>
              <w:lastRenderedPageBreak/>
              <w:t>if the party pleading alleges more than one negligent act or omission, must, so far as practicable, state separately the facts and circumstances on which the party relies in respect of each alleged negligent act or omission.</w:t>
            </w:r>
          </w:p>
          <w:p w14:paraId="35BF0F24" w14:textId="77777777" w:rsidR="00053864" w:rsidRDefault="00053864" w:rsidP="00053864">
            <w:pPr>
              <w:pStyle w:val="ListParagraph"/>
              <w:numPr>
                <w:ilvl w:val="0"/>
                <w:numId w:val="39"/>
              </w:numPr>
              <w:spacing w:before="120" w:after="120"/>
              <w:rPr>
                <w:rStyle w:val="verdana"/>
              </w:rPr>
            </w:pPr>
            <w:r>
              <w:rPr>
                <w:rStyle w:val="verdana"/>
              </w:rPr>
              <w:t>The particulars to be given by a pleading that alleges breach of statutory duty:</w:t>
            </w:r>
          </w:p>
          <w:p w14:paraId="7DB4B6C9" w14:textId="77777777" w:rsidR="00053864" w:rsidRDefault="00053864" w:rsidP="00053864">
            <w:pPr>
              <w:pStyle w:val="ListParagraph"/>
              <w:numPr>
                <w:ilvl w:val="1"/>
                <w:numId w:val="39"/>
              </w:numPr>
              <w:spacing w:before="120" w:after="120"/>
              <w:rPr>
                <w:rStyle w:val="verdana"/>
              </w:rPr>
            </w:pPr>
            <w:r>
              <w:rPr>
                <w:rStyle w:val="verdana"/>
              </w:rPr>
              <w:t>must state the facts and circumstances on which the party pleading relies as constituting the alleged breach of statutory duty, and</w:t>
            </w:r>
          </w:p>
          <w:p w14:paraId="18D52DA4" w14:textId="77777777" w:rsidR="00053864" w:rsidRPr="00053864" w:rsidRDefault="00053864" w:rsidP="00581EC3">
            <w:pPr>
              <w:pStyle w:val="ListParagraph"/>
              <w:numPr>
                <w:ilvl w:val="1"/>
                <w:numId w:val="39"/>
              </w:numPr>
              <w:spacing w:before="120" w:after="120"/>
              <w:rPr>
                <w:rStyle w:val="verdana"/>
              </w:rPr>
            </w:pPr>
            <w:proofErr w:type="gramStart"/>
            <w:r>
              <w:rPr>
                <w:rStyle w:val="verdana"/>
              </w:rPr>
              <w:t>if</w:t>
            </w:r>
            <w:proofErr w:type="gramEnd"/>
            <w:r>
              <w:rPr>
                <w:rStyle w:val="verdana"/>
              </w:rPr>
              <w:t xml:space="preserve"> the party pleading alleges more than one breach of statutory duty, must, so far as practicable, state separately the facts and circumstances on which the party relies in respect of each alleged breach of statutory duty.</w:t>
            </w:r>
          </w:p>
          <w:p w14:paraId="4544A05B" w14:textId="77777777" w:rsidR="00053864" w:rsidRDefault="00053864" w:rsidP="00053864">
            <w:pPr>
              <w:spacing w:before="120" w:after="120"/>
              <w:ind w:left="284"/>
              <w:rPr>
                <w:b/>
                <w:u w:val="single"/>
              </w:rPr>
            </w:pPr>
            <w:r>
              <w:rPr>
                <w:b/>
                <w:u w:val="single"/>
              </w:rPr>
              <w:t>Claims for out of pocket expenses</w:t>
            </w:r>
          </w:p>
          <w:p w14:paraId="74C88A3D" w14:textId="77777777" w:rsidR="00053864" w:rsidRDefault="00053864" w:rsidP="00053864">
            <w:pPr>
              <w:spacing w:before="120" w:after="120"/>
              <w:ind w:left="284"/>
              <w:rPr>
                <w:b/>
              </w:rPr>
            </w:pPr>
            <w:r>
              <w:rPr>
                <w:b/>
              </w:rPr>
              <w:t>Rule 15.6</w:t>
            </w:r>
          </w:p>
          <w:p w14:paraId="4C6C356E" w14:textId="77777777" w:rsidR="00053864" w:rsidRDefault="00053864" w:rsidP="00053864">
            <w:pPr>
              <w:spacing w:before="120" w:after="120"/>
              <w:ind w:left="284"/>
              <w:rPr>
                <w:rStyle w:val="verdana"/>
              </w:rPr>
            </w:pPr>
            <w:r>
              <w:rPr>
                <w:rStyle w:val="verdana"/>
              </w:rPr>
              <w:t>A party pleading who claims damages that include money that he or she has paid or is liable to pay must give particulars of that money.</w:t>
            </w:r>
          </w:p>
          <w:p w14:paraId="6E4A8CC2" w14:textId="77777777" w:rsidR="00053864" w:rsidRDefault="00053864" w:rsidP="00053864">
            <w:pPr>
              <w:spacing w:before="120" w:after="120"/>
              <w:ind w:left="284"/>
              <w:rPr>
                <w:rStyle w:val="verdana"/>
              </w:rPr>
            </w:pPr>
            <w:r>
              <w:rPr>
                <w:rStyle w:val="verdana"/>
                <w:b/>
                <w:u w:val="single"/>
              </w:rPr>
              <w:t>Claims for exemplary damages</w:t>
            </w:r>
          </w:p>
          <w:p w14:paraId="3D06D97A" w14:textId="77777777" w:rsidR="00053864" w:rsidRDefault="00053864" w:rsidP="00053864">
            <w:pPr>
              <w:spacing w:before="120" w:after="120"/>
              <w:ind w:left="284"/>
              <w:rPr>
                <w:rStyle w:val="verdana"/>
              </w:rPr>
            </w:pPr>
            <w:r>
              <w:rPr>
                <w:rStyle w:val="verdana"/>
                <w:b/>
              </w:rPr>
              <w:t>Rule 15.7</w:t>
            </w:r>
          </w:p>
          <w:p w14:paraId="4AD1DF7B" w14:textId="77777777" w:rsidR="00053864" w:rsidRDefault="00053864" w:rsidP="00053864">
            <w:pPr>
              <w:spacing w:before="120" w:after="120"/>
              <w:ind w:left="284"/>
              <w:rPr>
                <w:rStyle w:val="verdana"/>
              </w:rPr>
            </w:pPr>
            <w:r>
              <w:rPr>
                <w:rStyle w:val="verdana"/>
              </w:rPr>
              <w:t>The particulars to be given by a pleading that claims exemplary damages must state the facts and circumstances on which the party pleading relies to establish that claim.</w:t>
            </w:r>
          </w:p>
          <w:p w14:paraId="70775A6E" w14:textId="77777777" w:rsidR="00053864" w:rsidRDefault="00053864" w:rsidP="00053864">
            <w:pPr>
              <w:spacing w:before="120" w:after="120"/>
              <w:ind w:left="284"/>
              <w:rPr>
                <w:rStyle w:val="verdana"/>
              </w:rPr>
            </w:pPr>
            <w:r>
              <w:rPr>
                <w:rStyle w:val="verdana"/>
                <w:b/>
                <w:u w:val="single"/>
              </w:rPr>
              <w:t>Claims for aggravated damages</w:t>
            </w:r>
          </w:p>
          <w:p w14:paraId="2DD52B9E" w14:textId="77777777" w:rsidR="00053864" w:rsidRDefault="00053864" w:rsidP="00053864">
            <w:pPr>
              <w:spacing w:before="120" w:after="120"/>
              <w:ind w:left="284"/>
              <w:rPr>
                <w:rStyle w:val="verdana"/>
              </w:rPr>
            </w:pPr>
            <w:r>
              <w:rPr>
                <w:rStyle w:val="verdana"/>
                <w:b/>
              </w:rPr>
              <w:lastRenderedPageBreak/>
              <w:t>Rule 15.8</w:t>
            </w:r>
          </w:p>
          <w:p w14:paraId="65F71766" w14:textId="77777777" w:rsidR="00053864" w:rsidRDefault="00053864" w:rsidP="00053864">
            <w:pPr>
              <w:spacing w:before="120" w:after="120"/>
              <w:ind w:left="284"/>
              <w:rPr>
                <w:rStyle w:val="verdana"/>
              </w:rPr>
            </w:pPr>
            <w:r>
              <w:rPr>
                <w:rStyle w:val="verdana"/>
              </w:rPr>
              <w:t>The particulars to be given by a pleading that claims aggravated compensatory damages must state the facts and circumstances on which the party pleading relies to establish that claim.</w:t>
            </w:r>
          </w:p>
          <w:p w14:paraId="53499D70" w14:textId="77777777" w:rsidR="00581EC3" w:rsidRDefault="00581EC3" w:rsidP="00053864">
            <w:pPr>
              <w:spacing w:before="120" w:after="120"/>
              <w:ind w:left="284"/>
              <w:rPr>
                <w:rStyle w:val="verdana"/>
              </w:rPr>
            </w:pPr>
            <w:r>
              <w:rPr>
                <w:rStyle w:val="verdana"/>
                <w:b/>
                <w:u w:val="single"/>
              </w:rPr>
              <w:t>Particulars in relation to personal injury: see R 15.12</w:t>
            </w:r>
          </w:p>
          <w:p w14:paraId="4A29B56B" w14:textId="77777777" w:rsidR="00581EC3" w:rsidRPr="00581EC3" w:rsidRDefault="00581EC3" w:rsidP="00053864">
            <w:pPr>
              <w:spacing w:before="120" w:after="120"/>
              <w:ind w:left="284"/>
              <w:rPr>
                <w:rStyle w:val="verdana"/>
              </w:rPr>
            </w:pPr>
            <w:r>
              <w:rPr>
                <w:rStyle w:val="verdana"/>
                <w:b/>
                <w:u w:val="single"/>
              </w:rPr>
              <w:t>Particulars in relation to defamation: see R 15.19</w:t>
            </w:r>
          </w:p>
          <w:p w14:paraId="3D219AA5" w14:textId="77777777" w:rsidR="00053864" w:rsidRPr="00053864" w:rsidRDefault="00053864" w:rsidP="00581EC3">
            <w:pPr>
              <w:pStyle w:val="ListParagraph"/>
              <w:spacing w:before="120" w:after="120"/>
              <w:ind w:left="1004"/>
            </w:pPr>
          </w:p>
        </w:tc>
        <w:tc>
          <w:tcPr>
            <w:tcW w:w="1445" w:type="pct"/>
          </w:tcPr>
          <w:p w14:paraId="4D367E70" w14:textId="77777777" w:rsidR="00B0752D" w:rsidRDefault="00B0752D" w:rsidP="004074AC">
            <w:pPr>
              <w:spacing w:before="120" w:after="120"/>
              <w:ind w:left="284"/>
              <w:rPr>
                <w:rStyle w:val="verdana"/>
              </w:rPr>
            </w:pPr>
            <w:r>
              <w:rPr>
                <w:rStyle w:val="verdana"/>
                <w:b/>
              </w:rPr>
              <w:lastRenderedPageBreak/>
              <w:t>FCR 16.41</w:t>
            </w:r>
          </w:p>
          <w:p w14:paraId="3E9D6801" w14:textId="77777777" w:rsidR="00B0752D" w:rsidRPr="00B0752D" w:rsidRDefault="00B0752D" w:rsidP="004074AC">
            <w:pPr>
              <w:spacing w:before="120" w:after="120"/>
              <w:ind w:left="284"/>
              <w:rPr>
                <w:rStyle w:val="verdana"/>
              </w:rPr>
            </w:pPr>
            <w:r>
              <w:rPr>
                <w:rStyle w:val="verdana"/>
              </w:rPr>
              <w:t>A party must state in a pleading, or in a document filed and served with the pleading, the necessary particulars of each claim, defence or other matter pleaded by the party.</w:t>
            </w:r>
          </w:p>
          <w:p w14:paraId="37ABB59F" w14:textId="77777777" w:rsidR="00B0752D" w:rsidRDefault="00C21CBD" w:rsidP="004074AC">
            <w:pPr>
              <w:spacing w:before="120" w:after="120"/>
              <w:ind w:left="284"/>
              <w:rPr>
                <w:b/>
              </w:rPr>
            </w:pPr>
            <w:r>
              <w:rPr>
                <w:b/>
              </w:rPr>
              <w:t xml:space="preserve">FCR 16.42 Fraud, misrepresentation </w:t>
            </w:r>
            <w:proofErr w:type="spellStart"/>
            <w:r>
              <w:rPr>
                <w:b/>
              </w:rPr>
              <w:t>etc</w:t>
            </w:r>
            <w:proofErr w:type="spellEnd"/>
          </w:p>
          <w:p w14:paraId="516364A2" w14:textId="77777777" w:rsidR="00C21CBD" w:rsidRDefault="00C21CBD" w:rsidP="004074AC">
            <w:pPr>
              <w:spacing w:before="120" w:after="120"/>
              <w:ind w:left="284"/>
              <w:rPr>
                <w:rStyle w:val="verdana"/>
              </w:rPr>
            </w:pPr>
            <w:r>
              <w:rPr>
                <w:rStyle w:val="verdana"/>
              </w:rPr>
              <w:t>A party who pleads fraud, misrepresentation, unconscionable conduct, breach of trust, wilful default or undue influence must state in the pleading particulars of the facts on which the party relies.</w:t>
            </w:r>
          </w:p>
          <w:p w14:paraId="6D188CD1" w14:textId="77777777" w:rsidR="00C21CBD" w:rsidRDefault="00C21CBD" w:rsidP="00C21CBD">
            <w:pPr>
              <w:spacing w:before="120" w:after="120"/>
              <w:ind w:left="284"/>
              <w:rPr>
                <w:b/>
              </w:rPr>
            </w:pPr>
            <w:r>
              <w:rPr>
                <w:b/>
              </w:rPr>
              <w:t>FCR 16.43 Conditions of mind</w:t>
            </w:r>
          </w:p>
          <w:p w14:paraId="61DF1254" w14:textId="77777777" w:rsidR="00C21CBD" w:rsidRDefault="00C21CBD" w:rsidP="00C21CBD">
            <w:pPr>
              <w:pStyle w:val="ListParagraph"/>
              <w:numPr>
                <w:ilvl w:val="0"/>
                <w:numId w:val="43"/>
              </w:numPr>
              <w:spacing w:before="120" w:after="120"/>
              <w:rPr>
                <w:rStyle w:val="verdana"/>
              </w:rPr>
            </w:pPr>
            <w:r>
              <w:rPr>
                <w:rStyle w:val="verdana"/>
              </w:rPr>
              <w:t>A party who pleads a condition of mind must state in the pleading particulars of the facts on which the party relies.</w:t>
            </w:r>
          </w:p>
          <w:p w14:paraId="45CF09A4" w14:textId="77777777" w:rsidR="00C21CBD" w:rsidRDefault="00C21CBD" w:rsidP="00C21CBD">
            <w:pPr>
              <w:pStyle w:val="ListParagraph"/>
              <w:numPr>
                <w:ilvl w:val="0"/>
                <w:numId w:val="43"/>
              </w:numPr>
              <w:spacing w:before="120" w:after="120"/>
              <w:rPr>
                <w:rStyle w:val="verdana"/>
              </w:rPr>
            </w:pPr>
            <w:r>
              <w:rPr>
                <w:rStyle w:val="verdana"/>
              </w:rPr>
              <w:lastRenderedPageBreak/>
              <w:t>If a party pleads that another party ought to have known something, the party must give particulars of the facts and circumstances from which the other party ought to have acquired the knowledge.</w:t>
            </w:r>
          </w:p>
          <w:p w14:paraId="32B1AC59" w14:textId="77777777" w:rsidR="00C21CBD" w:rsidRDefault="00C21CBD" w:rsidP="00C21CBD">
            <w:pPr>
              <w:pStyle w:val="ListParagraph"/>
              <w:numPr>
                <w:ilvl w:val="0"/>
                <w:numId w:val="43"/>
              </w:numPr>
              <w:spacing w:before="120" w:after="120"/>
              <w:rPr>
                <w:rStyle w:val="verdana"/>
              </w:rPr>
            </w:pPr>
            <w:r>
              <w:rPr>
                <w:rStyle w:val="verdana"/>
              </w:rPr>
              <w:t>In this rule:</w:t>
            </w:r>
          </w:p>
          <w:p w14:paraId="652DAF04" w14:textId="77777777" w:rsidR="00C21CBD" w:rsidRDefault="00C21CBD" w:rsidP="00C21CBD">
            <w:pPr>
              <w:spacing w:before="120" w:after="120"/>
              <w:ind w:left="284"/>
              <w:rPr>
                <w:rStyle w:val="verdana"/>
              </w:rPr>
            </w:pPr>
            <w:r w:rsidRPr="009A239C">
              <w:rPr>
                <w:rStyle w:val="bold"/>
                <w:b/>
              </w:rPr>
              <w:t>condition of mind</w:t>
            </w:r>
            <w:r w:rsidR="009A239C">
              <w:rPr>
                <w:rStyle w:val="bold"/>
              </w:rPr>
              <w:t>, for a party means:</w:t>
            </w:r>
          </w:p>
          <w:p w14:paraId="24A020BE" w14:textId="77777777" w:rsidR="00C21CBD" w:rsidRDefault="009A239C" w:rsidP="00C21CBD">
            <w:pPr>
              <w:pStyle w:val="ListParagraph"/>
              <w:numPr>
                <w:ilvl w:val="1"/>
                <w:numId w:val="43"/>
              </w:numPr>
              <w:spacing w:before="120" w:after="120"/>
              <w:rPr>
                <w:rStyle w:val="verdana"/>
              </w:rPr>
            </w:pPr>
            <w:r>
              <w:rPr>
                <w:rStyle w:val="verdana"/>
              </w:rPr>
              <w:t>knowledge; and</w:t>
            </w:r>
          </w:p>
          <w:p w14:paraId="2E14EF44" w14:textId="77777777" w:rsidR="009A239C" w:rsidRDefault="009A239C" w:rsidP="00C21CBD">
            <w:pPr>
              <w:pStyle w:val="ListParagraph"/>
              <w:numPr>
                <w:ilvl w:val="1"/>
                <w:numId w:val="43"/>
              </w:numPr>
              <w:spacing w:before="120" w:after="120"/>
              <w:rPr>
                <w:rStyle w:val="verdana"/>
              </w:rPr>
            </w:pPr>
            <w:r>
              <w:rPr>
                <w:rStyle w:val="verdana"/>
              </w:rPr>
              <w:t>any disorder or disability of the party’s mind; and</w:t>
            </w:r>
          </w:p>
          <w:p w14:paraId="742BE029" w14:textId="77777777" w:rsidR="009A239C" w:rsidRPr="00C21CBD" w:rsidRDefault="009A239C" w:rsidP="00C21CBD">
            <w:pPr>
              <w:pStyle w:val="ListParagraph"/>
              <w:numPr>
                <w:ilvl w:val="1"/>
                <w:numId w:val="43"/>
              </w:numPr>
              <w:spacing w:before="120" w:after="120"/>
            </w:pPr>
            <w:proofErr w:type="gramStart"/>
            <w:r>
              <w:rPr>
                <w:rStyle w:val="verdana"/>
              </w:rPr>
              <w:t>any</w:t>
            </w:r>
            <w:proofErr w:type="gramEnd"/>
            <w:r>
              <w:rPr>
                <w:rStyle w:val="verdana"/>
              </w:rPr>
              <w:t xml:space="preserve"> fraudulent intention of the party.</w:t>
            </w:r>
          </w:p>
          <w:p w14:paraId="52438AA4" w14:textId="77777777" w:rsidR="00C21CBD" w:rsidRDefault="009A239C" w:rsidP="00C21CBD">
            <w:pPr>
              <w:spacing w:before="120" w:after="120"/>
              <w:ind w:left="284"/>
              <w:rPr>
                <w:b/>
              </w:rPr>
            </w:pPr>
            <w:r>
              <w:rPr>
                <w:b/>
              </w:rPr>
              <w:t>FCR 16.44 Damages and exemplary damages</w:t>
            </w:r>
          </w:p>
          <w:p w14:paraId="042A9843" w14:textId="77777777" w:rsidR="009A239C" w:rsidRDefault="009A239C" w:rsidP="009A239C">
            <w:pPr>
              <w:pStyle w:val="ListParagraph"/>
              <w:numPr>
                <w:ilvl w:val="0"/>
                <w:numId w:val="44"/>
              </w:numPr>
              <w:spacing w:before="120" w:after="120"/>
              <w:rPr>
                <w:rStyle w:val="verdana"/>
              </w:rPr>
            </w:pPr>
            <w:r>
              <w:rPr>
                <w:rStyle w:val="verdana"/>
              </w:rPr>
              <w:t>A party who claims damages that includes money that the party has paid, or is liable to pay, must state in a pleading the amount of the money paid or liable to be paid.</w:t>
            </w:r>
          </w:p>
          <w:p w14:paraId="711FFE48" w14:textId="77777777" w:rsidR="009A239C" w:rsidRDefault="009A239C" w:rsidP="009A239C">
            <w:pPr>
              <w:pStyle w:val="ListParagraph"/>
              <w:numPr>
                <w:ilvl w:val="0"/>
                <w:numId w:val="44"/>
              </w:numPr>
              <w:spacing w:before="120" w:after="120"/>
              <w:rPr>
                <w:rStyle w:val="verdana"/>
              </w:rPr>
            </w:pPr>
            <w:r>
              <w:rPr>
                <w:rStyle w:val="verdana"/>
              </w:rPr>
              <w:t>If the party claims exemplary damages, the pleading must also state particulars of the facts on which the claim is based.</w:t>
            </w:r>
          </w:p>
          <w:p w14:paraId="736AF5FB" w14:textId="77777777" w:rsidR="009A239C" w:rsidRDefault="009A239C" w:rsidP="009A239C">
            <w:pPr>
              <w:spacing w:before="120" w:after="120"/>
            </w:pPr>
          </w:p>
          <w:p w14:paraId="696B98B0" w14:textId="77777777" w:rsidR="009A239C" w:rsidRPr="009A239C" w:rsidRDefault="009A239C" w:rsidP="009A239C">
            <w:pPr>
              <w:spacing w:before="120" w:after="120"/>
              <w:ind w:left="284"/>
              <w:rPr>
                <w:b/>
              </w:rPr>
            </w:pPr>
            <w:r>
              <w:rPr>
                <w:b/>
              </w:rPr>
              <w:t>FCR 16.45 Application for order for particulars</w:t>
            </w:r>
          </w:p>
        </w:tc>
      </w:tr>
      <w:tr w:rsidR="00090446" w14:paraId="1EFFE4CC" w14:textId="77777777">
        <w:tc>
          <w:tcPr>
            <w:tcW w:w="442" w:type="pct"/>
          </w:tcPr>
          <w:p w14:paraId="6D3B6FC8" w14:textId="77777777" w:rsidR="00090446" w:rsidRDefault="00090446" w:rsidP="009A239C">
            <w:pPr>
              <w:pStyle w:val="ListParagraph"/>
              <w:numPr>
                <w:ilvl w:val="0"/>
                <w:numId w:val="44"/>
              </w:numPr>
              <w:spacing w:before="120" w:after="120"/>
              <w:ind w:left="284"/>
              <w:contextualSpacing w:val="0"/>
              <w:jc w:val="center"/>
            </w:pPr>
          </w:p>
        </w:tc>
        <w:tc>
          <w:tcPr>
            <w:tcW w:w="1457" w:type="pct"/>
          </w:tcPr>
          <w:p w14:paraId="1C3C4604" w14:textId="77777777" w:rsidR="00090446" w:rsidRPr="00090446" w:rsidRDefault="00090446" w:rsidP="004074AC">
            <w:pPr>
              <w:spacing w:before="120" w:after="120"/>
              <w:ind w:left="284"/>
              <w:rPr>
                <w:b/>
              </w:rPr>
            </w:pPr>
            <w:r>
              <w:rPr>
                <w:b/>
              </w:rPr>
              <w:t>Defence</w:t>
            </w:r>
          </w:p>
        </w:tc>
        <w:tc>
          <w:tcPr>
            <w:tcW w:w="1656" w:type="pct"/>
          </w:tcPr>
          <w:p w14:paraId="4F56D2C1" w14:textId="77777777" w:rsidR="00090446" w:rsidRDefault="00090446" w:rsidP="004074AC">
            <w:pPr>
              <w:spacing w:before="120" w:after="120"/>
              <w:ind w:left="284"/>
              <w:rPr>
                <w:b/>
              </w:rPr>
            </w:pPr>
            <w:r>
              <w:rPr>
                <w:b/>
              </w:rPr>
              <w:t>R 14.3</w:t>
            </w:r>
          </w:p>
          <w:p w14:paraId="50E02502" w14:textId="77777777" w:rsidR="0092540D" w:rsidRDefault="00090446" w:rsidP="005659DD">
            <w:pPr>
              <w:spacing w:before="120" w:after="120"/>
              <w:ind w:left="284"/>
            </w:pPr>
            <w:r>
              <w:t xml:space="preserve">(1) The </w:t>
            </w:r>
            <w:r w:rsidR="00C27656">
              <w:t xml:space="preserve">time limited for a defendant to file a defence is 28 days after service on the defendant of the statement of claim or such other time as the court directs for the filing of a defence. </w:t>
            </w:r>
          </w:p>
          <w:p w14:paraId="41F890F9" w14:textId="77777777" w:rsidR="0092540D" w:rsidRDefault="0092540D" w:rsidP="004074AC">
            <w:pPr>
              <w:spacing w:before="120" w:after="120"/>
              <w:ind w:left="284"/>
            </w:pPr>
            <w:r>
              <w:rPr>
                <w:b/>
                <w:u w:val="single"/>
              </w:rPr>
              <w:t xml:space="preserve">Matters in the Commercial List or the Technology and Construction </w:t>
            </w:r>
            <w:r w:rsidRPr="0092540D">
              <w:rPr>
                <w:b/>
                <w:u w:val="single"/>
              </w:rPr>
              <w:t xml:space="preserve">List – Supreme Court Equity Division Practice Note SC </w:t>
            </w:r>
            <w:proofErr w:type="spellStart"/>
            <w:r w:rsidRPr="0092540D">
              <w:rPr>
                <w:b/>
                <w:u w:val="single"/>
              </w:rPr>
              <w:t>Eq</w:t>
            </w:r>
            <w:proofErr w:type="spellEnd"/>
            <w:r w:rsidRPr="0092540D">
              <w:rPr>
                <w:b/>
                <w:u w:val="single"/>
              </w:rPr>
              <w:t xml:space="preserve"> 3</w:t>
            </w:r>
          </w:p>
          <w:p w14:paraId="77DE72BA" w14:textId="77777777" w:rsidR="0092540D" w:rsidRPr="0092540D" w:rsidRDefault="00476022" w:rsidP="004074AC">
            <w:pPr>
              <w:spacing w:before="120" w:after="120"/>
              <w:ind w:left="284"/>
              <w:rPr>
                <w:b/>
              </w:rPr>
            </w:pPr>
            <w:r>
              <w:rPr>
                <w:b/>
              </w:rPr>
              <w:t>Para</w:t>
            </w:r>
            <w:r w:rsidR="0092540D">
              <w:rPr>
                <w:b/>
              </w:rPr>
              <w:t xml:space="preserve"> 10</w:t>
            </w:r>
          </w:p>
          <w:p w14:paraId="2BE43458" w14:textId="77777777" w:rsidR="0092540D" w:rsidRPr="0092540D" w:rsidRDefault="0092540D" w:rsidP="0092540D">
            <w:pPr>
              <w:spacing w:before="120" w:after="120"/>
              <w:ind w:left="284"/>
              <w:rPr>
                <w:rFonts w:eastAsia="Times New Roman" w:cstheme="minorHAnsi"/>
                <w:lang w:eastAsia="en-AU"/>
              </w:rPr>
            </w:pPr>
            <w:r w:rsidRPr="0092540D">
              <w:rPr>
                <w:rFonts w:eastAsia="Times New Roman" w:cstheme="minorHAnsi"/>
                <w:lang w:eastAsia="en-AU"/>
              </w:rPr>
              <w:t xml:space="preserve">A defendant shall file and serve a List Response, in the Commercial List a “Commercial List Response” or in the Technology and Construction List a “Technology and Construction List Response”, setting out, in summary form in the form of Annexure 1: </w:t>
            </w:r>
          </w:p>
          <w:p w14:paraId="6CB8E7A9" w14:textId="77777777" w:rsidR="0092540D" w:rsidRDefault="0092540D" w:rsidP="005659DD">
            <w:pPr>
              <w:spacing w:before="120" w:after="120"/>
              <w:ind w:left="720"/>
              <w:rPr>
                <w:rFonts w:eastAsia="Times New Roman" w:cstheme="minorHAnsi"/>
                <w:lang w:eastAsia="en-AU"/>
              </w:rPr>
            </w:pPr>
            <w:r w:rsidRPr="0092540D">
              <w:rPr>
                <w:rFonts w:eastAsia="Times New Roman" w:cstheme="minorHAnsi"/>
                <w:lang w:eastAsia="en-AU"/>
              </w:rPr>
              <w:t>10.1 the nature of the dispute</w:t>
            </w:r>
            <w:r w:rsidRPr="0092540D">
              <w:rPr>
                <w:rFonts w:eastAsia="Times New Roman" w:cstheme="minorHAnsi"/>
                <w:lang w:eastAsia="en-AU"/>
              </w:rPr>
              <w:br/>
              <w:t xml:space="preserve">10.2 the issues which the defendant believes are likely to arise </w:t>
            </w:r>
            <w:r w:rsidRPr="0092540D">
              <w:rPr>
                <w:rFonts w:eastAsia="Times New Roman" w:cstheme="minorHAnsi"/>
                <w:lang w:eastAsia="en-AU"/>
              </w:rPr>
              <w:br/>
              <w:t xml:space="preserve">10.3 the defendant's response to the </w:t>
            </w:r>
            <w:r w:rsidRPr="0092540D">
              <w:rPr>
                <w:rFonts w:eastAsia="Times New Roman" w:cstheme="minorHAnsi"/>
                <w:lang w:eastAsia="en-AU"/>
              </w:rPr>
              <w:lastRenderedPageBreak/>
              <w:t>plaintiff’s contentions including the legal grounds for opposition to the relief claimed in the Summons</w:t>
            </w:r>
            <w:r w:rsidRPr="0092540D">
              <w:rPr>
                <w:rFonts w:eastAsia="Times New Roman" w:cstheme="minorHAnsi"/>
                <w:lang w:eastAsia="en-AU"/>
              </w:rPr>
              <w:br/>
              <w:t xml:space="preserve">10.4 the questions (if any) the defendant considers are appropriate to be referred to a referee for inquiry and report and </w:t>
            </w:r>
            <w:r w:rsidRPr="0092540D">
              <w:rPr>
                <w:rFonts w:eastAsia="Times New Roman" w:cstheme="minorHAnsi"/>
                <w:lang w:eastAsia="en-AU"/>
              </w:rPr>
              <w:br/>
              <w:t xml:space="preserve">10.5 a statement as to whether the parties have attempted to mediate </w:t>
            </w:r>
            <w:r w:rsidRPr="0092540D">
              <w:rPr>
                <w:rFonts w:eastAsia="Times New Roman" w:cstheme="minorHAnsi"/>
                <w:b/>
                <w:bCs/>
                <w:i/>
                <w:iCs/>
                <w:u w:val="single"/>
                <w:lang w:eastAsia="en-AU"/>
              </w:rPr>
              <w:t>and</w:t>
            </w:r>
            <w:r w:rsidRPr="0092540D">
              <w:rPr>
                <w:rFonts w:eastAsia="Times New Roman" w:cstheme="minorHAnsi"/>
                <w:lang w:eastAsia="en-AU"/>
              </w:rPr>
              <w:t xml:space="preserve"> whether the defendant is willing to proceed to mediation at an appropriate time.</w:t>
            </w:r>
          </w:p>
          <w:p w14:paraId="0C9C3A7B" w14:textId="77777777" w:rsidR="0092540D" w:rsidRDefault="00476022" w:rsidP="0092540D">
            <w:pPr>
              <w:spacing w:before="120" w:after="120"/>
              <w:ind w:left="381"/>
              <w:rPr>
                <w:rFonts w:eastAsia="Times New Roman" w:cstheme="minorHAnsi"/>
                <w:b/>
                <w:lang w:eastAsia="en-AU"/>
              </w:rPr>
            </w:pPr>
            <w:r>
              <w:rPr>
                <w:rFonts w:eastAsia="Times New Roman" w:cstheme="minorHAnsi"/>
                <w:b/>
                <w:lang w:eastAsia="en-AU"/>
              </w:rPr>
              <w:t>Para</w:t>
            </w:r>
            <w:r w:rsidR="0092540D">
              <w:rPr>
                <w:rFonts w:eastAsia="Times New Roman" w:cstheme="minorHAnsi"/>
                <w:b/>
                <w:lang w:eastAsia="en-AU"/>
              </w:rPr>
              <w:t xml:space="preserve"> 11</w:t>
            </w:r>
          </w:p>
          <w:p w14:paraId="607C2C5D" w14:textId="77777777" w:rsidR="0092540D" w:rsidRPr="0092540D" w:rsidRDefault="0092540D" w:rsidP="0092540D">
            <w:pPr>
              <w:spacing w:before="120" w:after="120"/>
              <w:ind w:left="381"/>
              <w:rPr>
                <w:rFonts w:eastAsia="Times New Roman" w:cstheme="minorHAnsi"/>
                <w:lang w:eastAsia="en-AU"/>
              </w:rPr>
            </w:pPr>
            <w:r w:rsidRPr="0092540D">
              <w:rPr>
                <w:rFonts w:eastAsia="Times New Roman" w:cstheme="minorHAnsi"/>
                <w:lang w:eastAsia="en-AU"/>
              </w:rPr>
              <w:t xml:space="preserve">The defendant's contentions should: </w:t>
            </w:r>
          </w:p>
          <w:p w14:paraId="16BEE805" w14:textId="77777777" w:rsidR="00743B97" w:rsidRPr="00743B97" w:rsidRDefault="0092540D" w:rsidP="005659DD">
            <w:pPr>
              <w:spacing w:before="120" w:after="120"/>
              <w:ind w:left="720"/>
              <w:rPr>
                <w:rFonts w:eastAsia="Times New Roman" w:cstheme="minorHAnsi"/>
                <w:lang w:eastAsia="en-AU"/>
              </w:rPr>
            </w:pPr>
            <w:r w:rsidRPr="0092540D">
              <w:rPr>
                <w:rFonts w:eastAsia="Times New Roman" w:cstheme="minorHAnsi"/>
                <w:lang w:eastAsia="en-AU"/>
              </w:rPr>
              <w:t>11.1 avoid formality</w:t>
            </w:r>
            <w:r w:rsidRPr="0092540D">
              <w:rPr>
                <w:rFonts w:eastAsia="Times New Roman" w:cstheme="minorHAnsi"/>
                <w:lang w:eastAsia="en-AU"/>
              </w:rPr>
              <w:br/>
              <w:t>11.2 admit or deny the allegations the plaintiff makes</w:t>
            </w:r>
            <w:r w:rsidRPr="0092540D">
              <w:rPr>
                <w:rFonts w:eastAsia="Times New Roman" w:cstheme="minorHAnsi"/>
                <w:lang w:eastAsia="en-AU"/>
              </w:rPr>
              <w:br/>
              <w:t xml:space="preserve">11.3 in so far as they do not already appear state the allegations the defendant makes including adequate particulars of those allegations and </w:t>
            </w:r>
            <w:r w:rsidRPr="0092540D">
              <w:rPr>
                <w:rFonts w:eastAsia="Times New Roman" w:cstheme="minorHAnsi"/>
                <w:lang w:eastAsia="en-AU"/>
              </w:rPr>
              <w:br/>
              <w:t>11.4 identify the legal grounds for opposition to the</w:t>
            </w:r>
            <w:r w:rsidR="00743B97">
              <w:rPr>
                <w:rFonts w:eastAsia="Times New Roman" w:cstheme="minorHAnsi"/>
                <w:lang w:eastAsia="en-AU"/>
              </w:rPr>
              <w:t xml:space="preserve"> relief claimed in the Summons.</w:t>
            </w:r>
          </w:p>
        </w:tc>
        <w:tc>
          <w:tcPr>
            <w:tcW w:w="1445" w:type="pct"/>
          </w:tcPr>
          <w:p w14:paraId="34D7C170" w14:textId="77777777" w:rsidR="00B0752D" w:rsidRDefault="00B0752D" w:rsidP="004074AC">
            <w:pPr>
              <w:spacing w:before="120" w:after="120"/>
              <w:ind w:left="284"/>
              <w:rPr>
                <w:b/>
              </w:rPr>
            </w:pPr>
            <w:r>
              <w:rPr>
                <w:b/>
              </w:rPr>
              <w:lastRenderedPageBreak/>
              <w:t>FCR 16.32</w:t>
            </w:r>
          </w:p>
          <w:p w14:paraId="5424B350" w14:textId="77777777" w:rsidR="00090446" w:rsidRDefault="00B0752D" w:rsidP="004074AC">
            <w:pPr>
              <w:spacing w:before="120" w:after="120"/>
              <w:ind w:left="284"/>
            </w:pPr>
            <w:r>
              <w:rPr>
                <w:rStyle w:val="verdana"/>
              </w:rPr>
              <w:t xml:space="preserve">A respondent must file a defence, in accordance with </w:t>
            </w:r>
            <w:r w:rsidRPr="00B0752D">
              <w:rPr>
                <w:rStyle w:val="verdana"/>
              </w:rPr>
              <w:t>Form 33</w:t>
            </w:r>
            <w:r>
              <w:rPr>
                <w:rStyle w:val="verdana"/>
              </w:rPr>
              <w:t>, within 28 days after service of the statement of claim.</w:t>
            </w:r>
          </w:p>
        </w:tc>
      </w:tr>
      <w:tr w:rsidR="00C27656" w14:paraId="4689CF5B" w14:textId="77777777">
        <w:tc>
          <w:tcPr>
            <w:tcW w:w="442" w:type="pct"/>
          </w:tcPr>
          <w:p w14:paraId="59F92CB1" w14:textId="77777777" w:rsidR="00C27656" w:rsidRDefault="00C27656" w:rsidP="009A239C">
            <w:pPr>
              <w:pStyle w:val="ListParagraph"/>
              <w:numPr>
                <w:ilvl w:val="0"/>
                <w:numId w:val="44"/>
              </w:numPr>
              <w:spacing w:before="120" w:after="120"/>
              <w:ind w:left="284"/>
              <w:contextualSpacing w:val="0"/>
              <w:jc w:val="center"/>
            </w:pPr>
          </w:p>
        </w:tc>
        <w:tc>
          <w:tcPr>
            <w:tcW w:w="1457" w:type="pct"/>
          </w:tcPr>
          <w:p w14:paraId="47346030" w14:textId="77777777" w:rsidR="00C27656" w:rsidRDefault="00C27656" w:rsidP="004074AC">
            <w:pPr>
              <w:spacing w:before="120" w:after="120"/>
              <w:ind w:left="284"/>
              <w:rPr>
                <w:b/>
              </w:rPr>
            </w:pPr>
            <w:r>
              <w:rPr>
                <w:b/>
              </w:rPr>
              <w:t>Reply</w:t>
            </w:r>
          </w:p>
        </w:tc>
        <w:tc>
          <w:tcPr>
            <w:tcW w:w="1656" w:type="pct"/>
          </w:tcPr>
          <w:p w14:paraId="3F5ADBC4" w14:textId="77777777" w:rsidR="00C27656" w:rsidRDefault="00C27656" w:rsidP="004074AC">
            <w:pPr>
              <w:spacing w:before="120" w:after="120"/>
              <w:ind w:left="284"/>
              <w:rPr>
                <w:b/>
              </w:rPr>
            </w:pPr>
            <w:r>
              <w:rPr>
                <w:b/>
              </w:rPr>
              <w:t>R 14.4</w:t>
            </w:r>
          </w:p>
          <w:p w14:paraId="1BADCF3D" w14:textId="77777777" w:rsidR="00C27656" w:rsidRPr="00C27656" w:rsidRDefault="00C27656" w:rsidP="004074AC">
            <w:pPr>
              <w:spacing w:before="120" w:after="120"/>
              <w:ind w:left="284"/>
            </w:pPr>
            <w:r>
              <w:t>In proceedings in the Supreme Court or the District Court, a plaintiff may file a reply to a defence 14 days after service of the defence on the plaintiff.</w:t>
            </w:r>
          </w:p>
        </w:tc>
        <w:tc>
          <w:tcPr>
            <w:tcW w:w="1445" w:type="pct"/>
          </w:tcPr>
          <w:p w14:paraId="75F41340" w14:textId="77777777" w:rsidR="00B0752D" w:rsidRPr="00B0752D" w:rsidRDefault="00B0752D" w:rsidP="004074AC">
            <w:pPr>
              <w:spacing w:before="120" w:after="120"/>
              <w:ind w:left="284"/>
              <w:rPr>
                <w:rStyle w:val="verdana"/>
              </w:rPr>
            </w:pPr>
            <w:r>
              <w:rPr>
                <w:b/>
              </w:rPr>
              <w:t>FCR 16.33</w:t>
            </w:r>
          </w:p>
          <w:p w14:paraId="2F937204" w14:textId="77777777" w:rsidR="00C27656" w:rsidRDefault="00B0752D" w:rsidP="004074AC">
            <w:pPr>
              <w:spacing w:before="120" w:after="120"/>
              <w:ind w:left="284"/>
            </w:pPr>
            <w:r>
              <w:rPr>
                <w:rStyle w:val="verdana"/>
              </w:rPr>
              <w:t xml:space="preserve">If a respondent files a defence and the applicant wants to plead a matter of fact or point of law of the kind mentioned in </w:t>
            </w:r>
            <w:r w:rsidRPr="00B0752D">
              <w:rPr>
                <w:rStyle w:val="verdana"/>
              </w:rPr>
              <w:t>rule 16.08</w:t>
            </w:r>
            <w:r>
              <w:rPr>
                <w:rStyle w:val="verdana"/>
              </w:rPr>
              <w:t xml:space="preserve">, the applicant must file a reply, in accordance with </w:t>
            </w:r>
            <w:r w:rsidRPr="00B0752D">
              <w:rPr>
                <w:rStyle w:val="verdana"/>
              </w:rPr>
              <w:t>Form 34</w:t>
            </w:r>
            <w:r>
              <w:rPr>
                <w:rStyle w:val="verdana"/>
              </w:rPr>
              <w:t>, within 14 days after being served with the defence.</w:t>
            </w:r>
          </w:p>
        </w:tc>
      </w:tr>
    </w:tbl>
    <w:p w14:paraId="2FE4AFF9" w14:textId="77777777" w:rsidR="00C50CB9" w:rsidRDefault="00C50CB9" w:rsidP="00AD2E94"/>
    <w:sectPr w:rsidR="00C50CB9" w:rsidSect="004074AC">
      <w:footerReference w:type="even" r:id="rId8"/>
      <w:footerReference w:type="default" r:id="rId9"/>
      <w:pgSz w:w="16838" w:h="11906" w:orient="landscape"/>
      <w:pgMar w:top="709" w:right="1440" w:bottom="1135"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9AB7E" w14:textId="77777777" w:rsidR="00702E5F" w:rsidRDefault="00F61481">
      <w:pPr>
        <w:spacing w:after="0" w:line="240" w:lineRule="auto"/>
      </w:pPr>
      <w:r>
        <w:separator/>
      </w:r>
    </w:p>
  </w:endnote>
  <w:endnote w:type="continuationSeparator" w:id="0">
    <w:p w14:paraId="7E984122" w14:textId="77777777" w:rsidR="00702E5F" w:rsidRDefault="00F6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57BE" w14:textId="77777777" w:rsidR="005659DD" w:rsidRDefault="005659DD" w:rsidP="00C55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1150D" w14:textId="77777777" w:rsidR="005659DD" w:rsidRDefault="005659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8CF3" w14:textId="77777777" w:rsidR="005659DD" w:rsidRDefault="005659DD" w:rsidP="00C55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85D">
      <w:rPr>
        <w:rStyle w:val="PageNumber"/>
        <w:noProof/>
      </w:rPr>
      <w:t>15</w:t>
    </w:r>
    <w:r>
      <w:rPr>
        <w:rStyle w:val="PageNumber"/>
      </w:rPr>
      <w:fldChar w:fldCharType="end"/>
    </w:r>
  </w:p>
  <w:p w14:paraId="578236BE" w14:textId="77777777" w:rsidR="005659DD" w:rsidRPr="005D4FD5" w:rsidRDefault="005659DD" w:rsidP="005659DD">
    <w:pPr>
      <w:spacing w:after="240" w:line="300" w:lineRule="auto"/>
      <w:rPr>
        <w:rFonts w:ascii="Times New Roman" w:hAnsi="Times New Roman"/>
        <w:sz w:val="24"/>
        <w:szCs w:val="24"/>
      </w:rPr>
    </w:pPr>
    <w:r>
      <w:rPr>
        <w:noProof/>
        <w:lang w:val="en-US"/>
      </w:rPr>
      <w:drawing>
        <wp:anchor distT="0" distB="0" distL="114300" distR="114300" simplePos="0" relativeHeight="251660288" behindDoc="0" locked="0" layoutInCell="1" allowOverlap="1" wp14:anchorId="20FAAAA1" wp14:editId="4B70A699">
          <wp:simplePos x="0" y="0"/>
          <wp:positionH relativeFrom="column">
            <wp:posOffset>8458200</wp:posOffset>
          </wp:positionH>
          <wp:positionV relativeFrom="paragraph">
            <wp:posOffset>282575</wp:posOffset>
          </wp:positionV>
          <wp:extent cx="1053096" cy="428264"/>
          <wp:effectExtent l="25400" t="0" r="0" b="0"/>
          <wp:wrapNone/>
          <wp:docPr id="1" name="Picture 1" descr="lai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naLogo"/>
                  <pic:cNvPicPr>
                    <a:picLocks noChangeAspect="1" noChangeArrowheads="1"/>
                  </pic:cNvPicPr>
                </pic:nvPicPr>
                <pic:blipFill>
                  <a:blip r:embed="rId1"/>
                  <a:srcRect/>
                  <a:stretch>
                    <a:fillRect/>
                  </a:stretch>
                </pic:blipFill>
                <pic:spPr bwMode="auto">
                  <a:xfrm>
                    <a:off x="0" y="0"/>
                    <a:ext cx="1053096" cy="428264"/>
                  </a:xfrm>
                  <a:prstGeom prst="rect">
                    <a:avLst/>
                  </a:prstGeom>
                  <a:noFill/>
                </pic:spPr>
              </pic:pic>
            </a:graphicData>
          </a:graphic>
        </wp:anchor>
      </w:drawing>
    </w:r>
  </w:p>
  <w:p w14:paraId="397B0984" w14:textId="77777777" w:rsidR="005659DD" w:rsidRDefault="005659DD">
    <w:pPr>
      <w:pStyle w:val="Footer"/>
    </w:pP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FBC18" w14:textId="77777777" w:rsidR="00702E5F" w:rsidRDefault="00F61481">
      <w:pPr>
        <w:spacing w:after="0" w:line="240" w:lineRule="auto"/>
      </w:pPr>
      <w:r>
        <w:separator/>
      </w:r>
    </w:p>
  </w:footnote>
  <w:footnote w:type="continuationSeparator" w:id="0">
    <w:p w14:paraId="34EEAB72" w14:textId="77777777" w:rsidR="00702E5F" w:rsidRDefault="00F614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282"/>
    <w:multiLevelType w:val="hybridMultilevel"/>
    <w:tmpl w:val="F3CA3408"/>
    <w:lvl w:ilvl="0" w:tplc="2B0CBB3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5577D18"/>
    <w:multiLevelType w:val="hybridMultilevel"/>
    <w:tmpl w:val="C73E5242"/>
    <w:lvl w:ilvl="0" w:tplc="2B0CB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443712"/>
    <w:multiLevelType w:val="hybridMultilevel"/>
    <w:tmpl w:val="B3A202A6"/>
    <w:lvl w:ilvl="0" w:tplc="6A5CB442">
      <w:start w:val="1"/>
      <w:numFmt w:val="decimal"/>
      <w:lvlText w:val="(%1)"/>
      <w:lvlJc w:val="left"/>
      <w:pPr>
        <w:ind w:left="644" w:hanging="360"/>
      </w:pPr>
      <w:rPr>
        <w:rFonts w:hint="default"/>
      </w:rPr>
    </w:lvl>
    <w:lvl w:ilvl="1" w:tplc="3816FD8E">
      <w:start w:val="1"/>
      <w:numFmt w:val="lowerLetter"/>
      <w:lvlText w:val="(%2)"/>
      <w:lvlJc w:val="left"/>
      <w:pPr>
        <w:ind w:left="1364" w:hanging="36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0DF478A7"/>
    <w:multiLevelType w:val="hybridMultilevel"/>
    <w:tmpl w:val="D46CAF58"/>
    <w:lvl w:ilvl="0" w:tplc="2B0CBB38">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070AC2"/>
    <w:multiLevelType w:val="multilevel"/>
    <w:tmpl w:val="AB04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B6544"/>
    <w:multiLevelType w:val="hybridMultilevel"/>
    <w:tmpl w:val="80FCAB40"/>
    <w:lvl w:ilvl="0" w:tplc="2B0CBB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0743EC"/>
    <w:multiLevelType w:val="hybridMultilevel"/>
    <w:tmpl w:val="E384F086"/>
    <w:lvl w:ilvl="0" w:tplc="2B0CB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2C594E"/>
    <w:multiLevelType w:val="hybridMultilevel"/>
    <w:tmpl w:val="B7583296"/>
    <w:lvl w:ilvl="0" w:tplc="2B0CBB38">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nsid w:val="1E240C89"/>
    <w:multiLevelType w:val="hybridMultilevel"/>
    <w:tmpl w:val="34E215AC"/>
    <w:lvl w:ilvl="0" w:tplc="2B0CBB38">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nsid w:val="20674137"/>
    <w:multiLevelType w:val="hybridMultilevel"/>
    <w:tmpl w:val="16ECD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9165B6"/>
    <w:multiLevelType w:val="multilevel"/>
    <w:tmpl w:val="7A4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85F2C"/>
    <w:multiLevelType w:val="multilevel"/>
    <w:tmpl w:val="BDC2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1A0E9D"/>
    <w:multiLevelType w:val="hybridMultilevel"/>
    <w:tmpl w:val="F182C436"/>
    <w:lvl w:ilvl="0" w:tplc="6A5CB442">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nsid w:val="2DB76E56"/>
    <w:multiLevelType w:val="hybridMultilevel"/>
    <w:tmpl w:val="2CF6518C"/>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nsid w:val="2E007963"/>
    <w:multiLevelType w:val="hybridMultilevel"/>
    <w:tmpl w:val="662C24F8"/>
    <w:lvl w:ilvl="0" w:tplc="2B0CBB38">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087030"/>
    <w:multiLevelType w:val="hybridMultilevel"/>
    <w:tmpl w:val="6E1A4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893E61"/>
    <w:multiLevelType w:val="multilevel"/>
    <w:tmpl w:val="892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C1F82"/>
    <w:multiLevelType w:val="hybridMultilevel"/>
    <w:tmpl w:val="4E3A99D4"/>
    <w:lvl w:ilvl="0" w:tplc="2B0CBB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212269C"/>
    <w:multiLevelType w:val="hybridMultilevel"/>
    <w:tmpl w:val="CA76A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B50C47"/>
    <w:multiLevelType w:val="multilevel"/>
    <w:tmpl w:val="594C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8B6733"/>
    <w:multiLevelType w:val="hybridMultilevel"/>
    <w:tmpl w:val="D360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C434DC"/>
    <w:multiLevelType w:val="hybridMultilevel"/>
    <w:tmpl w:val="7C6CAAAA"/>
    <w:lvl w:ilvl="0" w:tplc="6A5CB442">
      <w:start w:val="1"/>
      <w:numFmt w:val="decimal"/>
      <w:lvlText w:val="(%1)"/>
      <w:lvlJc w:val="left"/>
      <w:pPr>
        <w:ind w:left="644" w:hanging="360"/>
      </w:pPr>
      <w:rPr>
        <w:rFonts w:hint="default"/>
      </w:rPr>
    </w:lvl>
    <w:lvl w:ilvl="1" w:tplc="2B0CBB38">
      <w:start w:val="1"/>
      <w:numFmt w:val="lowerLetter"/>
      <w:lvlText w:val="(%2)"/>
      <w:lvlJc w:val="left"/>
      <w:pPr>
        <w:ind w:left="1364" w:hanging="36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nsid w:val="427676A0"/>
    <w:multiLevelType w:val="hybridMultilevel"/>
    <w:tmpl w:val="66402EEC"/>
    <w:lvl w:ilvl="0" w:tplc="6A5CB442">
      <w:start w:val="1"/>
      <w:numFmt w:val="decimal"/>
      <w:lvlText w:val="(%1)"/>
      <w:lvlJc w:val="left"/>
      <w:pPr>
        <w:ind w:left="644" w:hanging="360"/>
      </w:pPr>
      <w:rPr>
        <w:rFonts w:hint="default"/>
      </w:rPr>
    </w:lvl>
    <w:lvl w:ilvl="1" w:tplc="2B0CBB38">
      <w:start w:val="1"/>
      <w:numFmt w:val="lowerLetter"/>
      <w:lvlText w:val="(%2)"/>
      <w:lvlJc w:val="left"/>
      <w:pPr>
        <w:ind w:left="1364" w:hanging="36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nsid w:val="45B3197C"/>
    <w:multiLevelType w:val="hybridMultilevel"/>
    <w:tmpl w:val="C4569658"/>
    <w:lvl w:ilvl="0" w:tplc="6A5CB4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6D220D0"/>
    <w:multiLevelType w:val="hybridMultilevel"/>
    <w:tmpl w:val="FEF837EC"/>
    <w:lvl w:ilvl="0" w:tplc="2B0CBB3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nsid w:val="482C7324"/>
    <w:multiLevelType w:val="hybridMultilevel"/>
    <w:tmpl w:val="05E8CF88"/>
    <w:lvl w:ilvl="0" w:tplc="2B0CBB38">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6">
    <w:nsid w:val="4EE607AB"/>
    <w:multiLevelType w:val="hybridMultilevel"/>
    <w:tmpl w:val="EE54A7FA"/>
    <w:lvl w:ilvl="0" w:tplc="6A5CB442">
      <w:start w:val="1"/>
      <w:numFmt w:val="decimal"/>
      <w:lvlText w:val="(%1)"/>
      <w:lvlJc w:val="left"/>
      <w:pPr>
        <w:ind w:left="644" w:hanging="360"/>
      </w:pPr>
      <w:rPr>
        <w:rFonts w:hint="default"/>
      </w:rPr>
    </w:lvl>
    <w:lvl w:ilvl="1" w:tplc="2B0CBB38">
      <w:start w:val="1"/>
      <w:numFmt w:val="lowerLetter"/>
      <w:lvlText w:val="(%2)"/>
      <w:lvlJc w:val="left"/>
      <w:pPr>
        <w:ind w:left="1364" w:hanging="36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7">
    <w:nsid w:val="54CC63ED"/>
    <w:multiLevelType w:val="multilevel"/>
    <w:tmpl w:val="A65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96CE5"/>
    <w:multiLevelType w:val="hybridMultilevel"/>
    <w:tmpl w:val="8F3EB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903180C"/>
    <w:multiLevelType w:val="hybridMultilevel"/>
    <w:tmpl w:val="89EC9F3E"/>
    <w:lvl w:ilvl="0" w:tplc="6A5CB442">
      <w:start w:val="1"/>
      <w:numFmt w:val="decimal"/>
      <w:lvlText w:val="(%1)"/>
      <w:lvlJc w:val="left"/>
      <w:pPr>
        <w:ind w:left="741" w:hanging="360"/>
      </w:pPr>
      <w:rPr>
        <w:rFonts w:hint="default"/>
      </w:rPr>
    </w:lvl>
    <w:lvl w:ilvl="1" w:tplc="0C090019" w:tentative="1">
      <w:start w:val="1"/>
      <w:numFmt w:val="lowerLetter"/>
      <w:lvlText w:val="%2."/>
      <w:lvlJc w:val="left"/>
      <w:pPr>
        <w:ind w:left="1461" w:hanging="360"/>
      </w:pPr>
    </w:lvl>
    <w:lvl w:ilvl="2" w:tplc="0C09001B" w:tentative="1">
      <w:start w:val="1"/>
      <w:numFmt w:val="lowerRoman"/>
      <w:lvlText w:val="%3."/>
      <w:lvlJc w:val="right"/>
      <w:pPr>
        <w:ind w:left="2181" w:hanging="180"/>
      </w:pPr>
    </w:lvl>
    <w:lvl w:ilvl="3" w:tplc="0C09000F" w:tentative="1">
      <w:start w:val="1"/>
      <w:numFmt w:val="decimal"/>
      <w:lvlText w:val="%4."/>
      <w:lvlJc w:val="left"/>
      <w:pPr>
        <w:ind w:left="2901" w:hanging="360"/>
      </w:pPr>
    </w:lvl>
    <w:lvl w:ilvl="4" w:tplc="0C090019" w:tentative="1">
      <w:start w:val="1"/>
      <w:numFmt w:val="lowerLetter"/>
      <w:lvlText w:val="%5."/>
      <w:lvlJc w:val="left"/>
      <w:pPr>
        <w:ind w:left="3621" w:hanging="360"/>
      </w:pPr>
    </w:lvl>
    <w:lvl w:ilvl="5" w:tplc="0C09001B" w:tentative="1">
      <w:start w:val="1"/>
      <w:numFmt w:val="lowerRoman"/>
      <w:lvlText w:val="%6."/>
      <w:lvlJc w:val="right"/>
      <w:pPr>
        <w:ind w:left="4341" w:hanging="180"/>
      </w:pPr>
    </w:lvl>
    <w:lvl w:ilvl="6" w:tplc="0C09000F" w:tentative="1">
      <w:start w:val="1"/>
      <w:numFmt w:val="decimal"/>
      <w:lvlText w:val="%7."/>
      <w:lvlJc w:val="left"/>
      <w:pPr>
        <w:ind w:left="5061" w:hanging="360"/>
      </w:pPr>
    </w:lvl>
    <w:lvl w:ilvl="7" w:tplc="0C090019" w:tentative="1">
      <w:start w:val="1"/>
      <w:numFmt w:val="lowerLetter"/>
      <w:lvlText w:val="%8."/>
      <w:lvlJc w:val="left"/>
      <w:pPr>
        <w:ind w:left="5781" w:hanging="360"/>
      </w:pPr>
    </w:lvl>
    <w:lvl w:ilvl="8" w:tplc="0C09001B" w:tentative="1">
      <w:start w:val="1"/>
      <w:numFmt w:val="lowerRoman"/>
      <w:lvlText w:val="%9."/>
      <w:lvlJc w:val="right"/>
      <w:pPr>
        <w:ind w:left="6501" w:hanging="180"/>
      </w:pPr>
    </w:lvl>
  </w:abstractNum>
  <w:abstractNum w:abstractNumId="30">
    <w:nsid w:val="5AE83A6B"/>
    <w:multiLevelType w:val="hybridMultilevel"/>
    <w:tmpl w:val="CCE62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6146CA7"/>
    <w:multiLevelType w:val="hybridMultilevel"/>
    <w:tmpl w:val="3FC60D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7B142C8"/>
    <w:multiLevelType w:val="hybridMultilevel"/>
    <w:tmpl w:val="8B9C7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8276A7E"/>
    <w:multiLevelType w:val="hybridMultilevel"/>
    <w:tmpl w:val="B3A202A6"/>
    <w:lvl w:ilvl="0" w:tplc="6A5CB442">
      <w:start w:val="1"/>
      <w:numFmt w:val="decimal"/>
      <w:lvlText w:val="(%1)"/>
      <w:lvlJc w:val="left"/>
      <w:pPr>
        <w:ind w:left="720" w:hanging="360"/>
      </w:pPr>
      <w:rPr>
        <w:rFonts w:hint="default"/>
      </w:rPr>
    </w:lvl>
    <w:lvl w:ilvl="1" w:tplc="3816FD8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776381"/>
    <w:multiLevelType w:val="hybridMultilevel"/>
    <w:tmpl w:val="A81A628C"/>
    <w:lvl w:ilvl="0" w:tplc="6A5CB4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B515536"/>
    <w:multiLevelType w:val="hybridMultilevel"/>
    <w:tmpl w:val="1C146F68"/>
    <w:lvl w:ilvl="0" w:tplc="2B0CBB3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nsid w:val="6CB51B47"/>
    <w:multiLevelType w:val="hybridMultilevel"/>
    <w:tmpl w:val="2514DE34"/>
    <w:lvl w:ilvl="0" w:tplc="FE5A4694">
      <w:start w:val="1"/>
      <w:numFmt w:val="decimal"/>
      <w:lvlText w:val="(%1)"/>
      <w:lvlJc w:val="left"/>
      <w:pPr>
        <w:ind w:left="720" w:hanging="360"/>
      </w:pPr>
      <w:rPr>
        <w:rFonts w:hint="default"/>
      </w:rPr>
    </w:lvl>
    <w:lvl w:ilvl="1" w:tplc="F4C0039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171B24"/>
    <w:multiLevelType w:val="hybridMultilevel"/>
    <w:tmpl w:val="DD2A371A"/>
    <w:lvl w:ilvl="0" w:tplc="2B0CB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461EF6"/>
    <w:multiLevelType w:val="hybridMultilevel"/>
    <w:tmpl w:val="4830EAB2"/>
    <w:lvl w:ilvl="0" w:tplc="2B0CBB3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nsid w:val="784B2C40"/>
    <w:multiLevelType w:val="hybridMultilevel"/>
    <w:tmpl w:val="366E887A"/>
    <w:lvl w:ilvl="0" w:tplc="5210C9E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0">
    <w:nsid w:val="796907FD"/>
    <w:multiLevelType w:val="hybridMultilevel"/>
    <w:tmpl w:val="2C9CB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906076"/>
    <w:multiLevelType w:val="hybridMultilevel"/>
    <w:tmpl w:val="C7AA7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BA40CF0"/>
    <w:multiLevelType w:val="hybridMultilevel"/>
    <w:tmpl w:val="2878D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BCB7BC7"/>
    <w:multiLevelType w:val="hybridMultilevel"/>
    <w:tmpl w:val="26DAED76"/>
    <w:lvl w:ilvl="0" w:tplc="6A5CB44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42"/>
  </w:num>
  <w:num w:numId="2">
    <w:abstractNumId w:val="9"/>
  </w:num>
  <w:num w:numId="3">
    <w:abstractNumId w:val="32"/>
  </w:num>
  <w:num w:numId="4">
    <w:abstractNumId w:val="30"/>
  </w:num>
  <w:num w:numId="5">
    <w:abstractNumId w:val="10"/>
  </w:num>
  <w:num w:numId="6">
    <w:abstractNumId w:val="15"/>
  </w:num>
  <w:num w:numId="7">
    <w:abstractNumId w:val="28"/>
  </w:num>
  <w:num w:numId="8">
    <w:abstractNumId w:val="16"/>
  </w:num>
  <w:num w:numId="9">
    <w:abstractNumId w:val="37"/>
  </w:num>
  <w:num w:numId="10">
    <w:abstractNumId w:val="1"/>
  </w:num>
  <w:num w:numId="11">
    <w:abstractNumId w:val="41"/>
  </w:num>
  <w:num w:numId="12">
    <w:abstractNumId w:val="4"/>
  </w:num>
  <w:num w:numId="13">
    <w:abstractNumId w:val="19"/>
  </w:num>
  <w:num w:numId="14">
    <w:abstractNumId w:val="11"/>
  </w:num>
  <w:num w:numId="15">
    <w:abstractNumId w:val="27"/>
  </w:num>
  <w:num w:numId="16">
    <w:abstractNumId w:val="18"/>
  </w:num>
  <w:num w:numId="17">
    <w:abstractNumId w:val="33"/>
  </w:num>
  <w:num w:numId="18">
    <w:abstractNumId w:val="20"/>
  </w:num>
  <w:num w:numId="19">
    <w:abstractNumId w:val="40"/>
  </w:num>
  <w:num w:numId="20">
    <w:abstractNumId w:val="31"/>
  </w:num>
  <w:num w:numId="21">
    <w:abstractNumId w:val="25"/>
  </w:num>
  <w:num w:numId="22">
    <w:abstractNumId w:val="13"/>
  </w:num>
  <w:num w:numId="23">
    <w:abstractNumId w:val="17"/>
  </w:num>
  <w:num w:numId="24">
    <w:abstractNumId w:val="6"/>
  </w:num>
  <w:num w:numId="25">
    <w:abstractNumId w:val="36"/>
  </w:num>
  <w:num w:numId="26">
    <w:abstractNumId w:val="14"/>
  </w:num>
  <w:num w:numId="27">
    <w:abstractNumId w:val="3"/>
  </w:num>
  <w:num w:numId="28">
    <w:abstractNumId w:val="5"/>
  </w:num>
  <w:num w:numId="29">
    <w:abstractNumId w:val="34"/>
  </w:num>
  <w:num w:numId="30">
    <w:abstractNumId w:val="0"/>
  </w:num>
  <w:num w:numId="31">
    <w:abstractNumId w:val="38"/>
  </w:num>
  <w:num w:numId="32">
    <w:abstractNumId w:val="24"/>
  </w:num>
  <w:num w:numId="33">
    <w:abstractNumId w:val="39"/>
  </w:num>
  <w:num w:numId="34">
    <w:abstractNumId w:val="23"/>
  </w:num>
  <w:num w:numId="35">
    <w:abstractNumId w:val="35"/>
  </w:num>
  <w:num w:numId="36">
    <w:abstractNumId w:val="12"/>
  </w:num>
  <w:num w:numId="37">
    <w:abstractNumId w:val="43"/>
  </w:num>
  <w:num w:numId="38">
    <w:abstractNumId w:val="29"/>
  </w:num>
  <w:num w:numId="39">
    <w:abstractNumId w:val="26"/>
  </w:num>
  <w:num w:numId="40">
    <w:abstractNumId w:val="8"/>
  </w:num>
  <w:num w:numId="41">
    <w:abstractNumId w:val="7"/>
  </w:num>
  <w:num w:numId="42">
    <w:abstractNumId w:val="22"/>
  </w:num>
  <w:num w:numId="43">
    <w:abstractNumId w:val="2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60575"/>
    <w:rsid w:val="00053864"/>
    <w:rsid w:val="00056DE1"/>
    <w:rsid w:val="00090446"/>
    <w:rsid w:val="000C6462"/>
    <w:rsid w:val="00137BC1"/>
    <w:rsid w:val="00160575"/>
    <w:rsid w:val="002632ED"/>
    <w:rsid w:val="00277E1C"/>
    <w:rsid w:val="002F1478"/>
    <w:rsid w:val="0034287D"/>
    <w:rsid w:val="003719C4"/>
    <w:rsid w:val="004074AC"/>
    <w:rsid w:val="00427068"/>
    <w:rsid w:val="00476022"/>
    <w:rsid w:val="00490566"/>
    <w:rsid w:val="004A4AA9"/>
    <w:rsid w:val="004E28A9"/>
    <w:rsid w:val="004E6154"/>
    <w:rsid w:val="004F6362"/>
    <w:rsid w:val="005659DD"/>
    <w:rsid w:val="00581EC3"/>
    <w:rsid w:val="00642F38"/>
    <w:rsid w:val="006648C9"/>
    <w:rsid w:val="006B4275"/>
    <w:rsid w:val="006B713C"/>
    <w:rsid w:val="006F5987"/>
    <w:rsid w:val="00702E5F"/>
    <w:rsid w:val="00730E8F"/>
    <w:rsid w:val="00743B97"/>
    <w:rsid w:val="0075485D"/>
    <w:rsid w:val="007A0614"/>
    <w:rsid w:val="007A448B"/>
    <w:rsid w:val="007C246C"/>
    <w:rsid w:val="00843BB1"/>
    <w:rsid w:val="008507DB"/>
    <w:rsid w:val="008B3064"/>
    <w:rsid w:val="0092540D"/>
    <w:rsid w:val="0093269F"/>
    <w:rsid w:val="009352BE"/>
    <w:rsid w:val="009772C2"/>
    <w:rsid w:val="009A239C"/>
    <w:rsid w:val="00A32EF1"/>
    <w:rsid w:val="00A37C1B"/>
    <w:rsid w:val="00A6647F"/>
    <w:rsid w:val="00A70997"/>
    <w:rsid w:val="00AD2E94"/>
    <w:rsid w:val="00AD6344"/>
    <w:rsid w:val="00AE554F"/>
    <w:rsid w:val="00B0752D"/>
    <w:rsid w:val="00B13FF7"/>
    <w:rsid w:val="00B93913"/>
    <w:rsid w:val="00C21CBD"/>
    <w:rsid w:val="00C27656"/>
    <w:rsid w:val="00C50A49"/>
    <w:rsid w:val="00C50CB9"/>
    <w:rsid w:val="00C608CB"/>
    <w:rsid w:val="00E17E04"/>
    <w:rsid w:val="00EC0470"/>
    <w:rsid w:val="00F145FB"/>
    <w:rsid w:val="00F61481"/>
    <w:rsid w:val="00F8434D"/>
    <w:rsid w:val="00FA7588"/>
    <w:rsid w:val="00FD462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4A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75"/>
    <w:pPr>
      <w:ind w:left="720"/>
      <w:contextualSpacing/>
    </w:pPr>
  </w:style>
  <w:style w:type="table" w:styleId="TableGrid">
    <w:name w:val="Table Grid"/>
    <w:basedOn w:val="TableNormal"/>
    <w:uiPriority w:val="59"/>
    <w:rsid w:val="00C50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l3">
    <w:name w:val="ss_l3"/>
    <w:basedOn w:val="DefaultParagraphFont"/>
    <w:rsid w:val="008507DB"/>
  </w:style>
  <w:style w:type="character" w:customStyle="1" w:styleId="verdana">
    <w:name w:val="verdana"/>
    <w:basedOn w:val="DefaultParagraphFont"/>
    <w:rsid w:val="00EC0470"/>
  </w:style>
  <w:style w:type="character" w:customStyle="1" w:styleId="ssl4">
    <w:name w:val="ss_l4"/>
    <w:basedOn w:val="DefaultParagraphFont"/>
    <w:rsid w:val="00730E8F"/>
  </w:style>
  <w:style w:type="paragraph" w:customStyle="1" w:styleId="loose">
    <w:name w:val="loose"/>
    <w:basedOn w:val="Normal"/>
    <w:rsid w:val="00730E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0752D"/>
    <w:rPr>
      <w:color w:val="0000FF"/>
      <w:u w:val="single"/>
    </w:rPr>
  </w:style>
  <w:style w:type="paragraph" w:styleId="BalloonText">
    <w:name w:val="Balloon Text"/>
    <w:basedOn w:val="Normal"/>
    <w:link w:val="BalloonTextChar"/>
    <w:uiPriority w:val="99"/>
    <w:semiHidden/>
    <w:unhideWhenUsed/>
    <w:rsid w:val="0013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C1"/>
    <w:rPr>
      <w:rFonts w:ascii="Tahoma" w:hAnsi="Tahoma" w:cs="Tahoma"/>
      <w:sz w:val="16"/>
      <w:szCs w:val="16"/>
    </w:rPr>
  </w:style>
  <w:style w:type="character" w:customStyle="1" w:styleId="bold">
    <w:name w:val="bold"/>
    <w:basedOn w:val="DefaultParagraphFont"/>
    <w:rsid w:val="00053864"/>
  </w:style>
  <w:style w:type="paragraph" w:styleId="Footer">
    <w:name w:val="footer"/>
    <w:basedOn w:val="Normal"/>
    <w:link w:val="FooterChar"/>
    <w:uiPriority w:val="99"/>
    <w:unhideWhenUsed/>
    <w:rsid w:val="005659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59DD"/>
  </w:style>
  <w:style w:type="character" w:styleId="PageNumber">
    <w:name w:val="page number"/>
    <w:basedOn w:val="DefaultParagraphFont"/>
    <w:uiPriority w:val="99"/>
    <w:semiHidden/>
    <w:unhideWhenUsed/>
    <w:rsid w:val="005659DD"/>
  </w:style>
  <w:style w:type="paragraph" w:styleId="Header">
    <w:name w:val="header"/>
    <w:basedOn w:val="Normal"/>
    <w:link w:val="HeaderChar"/>
    <w:uiPriority w:val="99"/>
    <w:semiHidden/>
    <w:unhideWhenUsed/>
    <w:rsid w:val="005659D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6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75"/>
    <w:pPr>
      <w:ind w:left="720"/>
      <w:contextualSpacing/>
    </w:pPr>
  </w:style>
  <w:style w:type="table" w:styleId="TableGrid">
    <w:name w:val="Table Grid"/>
    <w:basedOn w:val="TableNormal"/>
    <w:uiPriority w:val="59"/>
    <w:rsid w:val="00C50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l3">
    <w:name w:val="ss_l3"/>
    <w:basedOn w:val="DefaultParagraphFont"/>
    <w:rsid w:val="008507DB"/>
  </w:style>
  <w:style w:type="character" w:customStyle="1" w:styleId="verdana">
    <w:name w:val="verdana"/>
    <w:basedOn w:val="DefaultParagraphFont"/>
    <w:rsid w:val="00EC0470"/>
  </w:style>
  <w:style w:type="character" w:customStyle="1" w:styleId="ssl4">
    <w:name w:val="ss_l4"/>
    <w:basedOn w:val="DefaultParagraphFont"/>
    <w:rsid w:val="00730E8F"/>
  </w:style>
  <w:style w:type="paragraph" w:customStyle="1" w:styleId="loose">
    <w:name w:val="loose"/>
    <w:basedOn w:val="Normal"/>
    <w:rsid w:val="00730E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0752D"/>
    <w:rPr>
      <w:color w:val="0000FF"/>
      <w:u w:val="single"/>
    </w:rPr>
  </w:style>
  <w:style w:type="paragraph" w:styleId="BalloonText">
    <w:name w:val="Balloon Text"/>
    <w:basedOn w:val="Normal"/>
    <w:link w:val="BalloonTextChar"/>
    <w:uiPriority w:val="99"/>
    <w:semiHidden/>
    <w:unhideWhenUsed/>
    <w:rsid w:val="0013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C1"/>
    <w:rPr>
      <w:rFonts w:ascii="Tahoma" w:hAnsi="Tahoma" w:cs="Tahoma"/>
      <w:sz w:val="16"/>
      <w:szCs w:val="16"/>
    </w:rPr>
  </w:style>
  <w:style w:type="character" w:customStyle="1" w:styleId="bold">
    <w:name w:val="bold"/>
    <w:basedOn w:val="DefaultParagraphFont"/>
    <w:rsid w:val="0005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9066">
      <w:bodyDiv w:val="1"/>
      <w:marLeft w:val="0"/>
      <w:marRight w:val="0"/>
      <w:marTop w:val="0"/>
      <w:marBottom w:val="0"/>
      <w:divBdr>
        <w:top w:val="none" w:sz="0" w:space="0" w:color="auto"/>
        <w:left w:val="none" w:sz="0" w:space="0" w:color="auto"/>
        <w:bottom w:val="none" w:sz="0" w:space="0" w:color="auto"/>
        <w:right w:val="none" w:sz="0" w:space="0" w:color="auto"/>
      </w:divBdr>
      <w:divsChild>
        <w:div w:id="395007439">
          <w:marLeft w:val="450"/>
          <w:marRight w:val="0"/>
          <w:marTop w:val="0"/>
          <w:marBottom w:val="0"/>
          <w:divBdr>
            <w:top w:val="none" w:sz="0" w:space="0" w:color="auto"/>
            <w:left w:val="none" w:sz="0" w:space="0" w:color="auto"/>
            <w:bottom w:val="none" w:sz="0" w:space="0" w:color="auto"/>
            <w:right w:val="none" w:sz="0" w:space="0" w:color="auto"/>
          </w:divBdr>
        </w:div>
      </w:divsChild>
    </w:div>
    <w:div w:id="606884635">
      <w:bodyDiv w:val="1"/>
      <w:marLeft w:val="0"/>
      <w:marRight w:val="0"/>
      <w:marTop w:val="0"/>
      <w:marBottom w:val="0"/>
      <w:divBdr>
        <w:top w:val="none" w:sz="0" w:space="0" w:color="auto"/>
        <w:left w:val="none" w:sz="0" w:space="0" w:color="auto"/>
        <w:bottom w:val="none" w:sz="0" w:space="0" w:color="auto"/>
        <w:right w:val="none" w:sz="0" w:space="0" w:color="auto"/>
      </w:divBdr>
    </w:div>
    <w:div w:id="799147368">
      <w:bodyDiv w:val="1"/>
      <w:marLeft w:val="0"/>
      <w:marRight w:val="0"/>
      <w:marTop w:val="0"/>
      <w:marBottom w:val="0"/>
      <w:divBdr>
        <w:top w:val="none" w:sz="0" w:space="0" w:color="auto"/>
        <w:left w:val="none" w:sz="0" w:space="0" w:color="auto"/>
        <w:bottom w:val="none" w:sz="0" w:space="0" w:color="auto"/>
        <w:right w:val="none" w:sz="0" w:space="0" w:color="auto"/>
      </w:divBdr>
      <w:divsChild>
        <w:div w:id="184716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115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5600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11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922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02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957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364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73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9509404">
      <w:bodyDiv w:val="1"/>
      <w:marLeft w:val="0"/>
      <w:marRight w:val="0"/>
      <w:marTop w:val="0"/>
      <w:marBottom w:val="0"/>
      <w:divBdr>
        <w:top w:val="none" w:sz="0" w:space="0" w:color="auto"/>
        <w:left w:val="none" w:sz="0" w:space="0" w:color="auto"/>
        <w:bottom w:val="none" w:sz="0" w:space="0" w:color="auto"/>
        <w:right w:val="none" w:sz="0" w:space="0" w:color="auto"/>
      </w:divBdr>
    </w:div>
    <w:div w:id="1001857151">
      <w:bodyDiv w:val="1"/>
      <w:marLeft w:val="0"/>
      <w:marRight w:val="0"/>
      <w:marTop w:val="0"/>
      <w:marBottom w:val="0"/>
      <w:divBdr>
        <w:top w:val="none" w:sz="0" w:space="0" w:color="auto"/>
        <w:left w:val="none" w:sz="0" w:space="0" w:color="auto"/>
        <w:bottom w:val="none" w:sz="0" w:space="0" w:color="auto"/>
        <w:right w:val="none" w:sz="0" w:space="0" w:color="auto"/>
      </w:divBdr>
      <w:divsChild>
        <w:div w:id="860168421">
          <w:marLeft w:val="0"/>
          <w:marRight w:val="0"/>
          <w:marTop w:val="0"/>
          <w:marBottom w:val="0"/>
          <w:divBdr>
            <w:top w:val="none" w:sz="0" w:space="0" w:color="auto"/>
            <w:left w:val="none" w:sz="0" w:space="0" w:color="auto"/>
            <w:bottom w:val="none" w:sz="0" w:space="0" w:color="auto"/>
            <w:right w:val="none" w:sz="0" w:space="0" w:color="auto"/>
          </w:divBdr>
          <w:divsChild>
            <w:div w:id="39745339">
              <w:marLeft w:val="0"/>
              <w:marRight w:val="0"/>
              <w:marTop w:val="0"/>
              <w:marBottom w:val="0"/>
              <w:divBdr>
                <w:top w:val="none" w:sz="0" w:space="0" w:color="auto"/>
                <w:left w:val="none" w:sz="0" w:space="0" w:color="auto"/>
                <w:bottom w:val="none" w:sz="0" w:space="0" w:color="auto"/>
                <w:right w:val="none" w:sz="0" w:space="0" w:color="auto"/>
              </w:divBdr>
              <w:divsChild>
                <w:div w:id="776019125">
                  <w:marLeft w:val="450"/>
                  <w:marRight w:val="0"/>
                  <w:marTop w:val="0"/>
                  <w:marBottom w:val="0"/>
                  <w:divBdr>
                    <w:top w:val="none" w:sz="0" w:space="0" w:color="auto"/>
                    <w:left w:val="none" w:sz="0" w:space="0" w:color="auto"/>
                    <w:bottom w:val="none" w:sz="0" w:space="0" w:color="auto"/>
                    <w:right w:val="none" w:sz="0" w:space="0" w:color="auto"/>
                  </w:divBdr>
                </w:div>
                <w:div w:id="1762483041">
                  <w:marLeft w:val="450"/>
                  <w:marRight w:val="0"/>
                  <w:marTop w:val="0"/>
                  <w:marBottom w:val="0"/>
                  <w:divBdr>
                    <w:top w:val="none" w:sz="0" w:space="0" w:color="auto"/>
                    <w:left w:val="none" w:sz="0" w:space="0" w:color="auto"/>
                    <w:bottom w:val="none" w:sz="0" w:space="0" w:color="auto"/>
                    <w:right w:val="none" w:sz="0" w:space="0" w:color="auto"/>
                  </w:divBdr>
                </w:div>
                <w:div w:id="11588121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62365071">
          <w:marLeft w:val="0"/>
          <w:marRight w:val="0"/>
          <w:marTop w:val="0"/>
          <w:marBottom w:val="0"/>
          <w:divBdr>
            <w:top w:val="none" w:sz="0" w:space="0" w:color="auto"/>
            <w:left w:val="none" w:sz="0" w:space="0" w:color="auto"/>
            <w:bottom w:val="none" w:sz="0" w:space="0" w:color="auto"/>
            <w:right w:val="none" w:sz="0" w:space="0" w:color="auto"/>
          </w:divBdr>
          <w:divsChild>
            <w:div w:id="2624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4092">
      <w:bodyDiv w:val="1"/>
      <w:marLeft w:val="0"/>
      <w:marRight w:val="0"/>
      <w:marTop w:val="0"/>
      <w:marBottom w:val="0"/>
      <w:divBdr>
        <w:top w:val="none" w:sz="0" w:space="0" w:color="auto"/>
        <w:left w:val="none" w:sz="0" w:space="0" w:color="auto"/>
        <w:bottom w:val="none" w:sz="0" w:space="0" w:color="auto"/>
        <w:right w:val="none" w:sz="0" w:space="0" w:color="auto"/>
      </w:divBdr>
      <w:divsChild>
        <w:div w:id="1534030187">
          <w:marLeft w:val="450"/>
          <w:marRight w:val="0"/>
          <w:marTop w:val="0"/>
          <w:marBottom w:val="0"/>
          <w:divBdr>
            <w:top w:val="none" w:sz="0" w:space="0" w:color="auto"/>
            <w:left w:val="none" w:sz="0" w:space="0" w:color="auto"/>
            <w:bottom w:val="none" w:sz="0" w:space="0" w:color="auto"/>
            <w:right w:val="none" w:sz="0" w:space="0" w:color="auto"/>
          </w:divBdr>
        </w:div>
        <w:div w:id="1260682070">
          <w:marLeft w:val="450"/>
          <w:marRight w:val="0"/>
          <w:marTop w:val="0"/>
          <w:marBottom w:val="0"/>
          <w:divBdr>
            <w:top w:val="none" w:sz="0" w:space="0" w:color="auto"/>
            <w:left w:val="none" w:sz="0" w:space="0" w:color="auto"/>
            <w:bottom w:val="none" w:sz="0" w:space="0" w:color="auto"/>
            <w:right w:val="none" w:sz="0" w:space="0" w:color="auto"/>
          </w:divBdr>
        </w:div>
      </w:divsChild>
    </w:div>
    <w:div w:id="1098528583">
      <w:bodyDiv w:val="1"/>
      <w:marLeft w:val="0"/>
      <w:marRight w:val="0"/>
      <w:marTop w:val="0"/>
      <w:marBottom w:val="0"/>
      <w:divBdr>
        <w:top w:val="none" w:sz="0" w:space="0" w:color="auto"/>
        <w:left w:val="none" w:sz="0" w:space="0" w:color="auto"/>
        <w:bottom w:val="none" w:sz="0" w:space="0" w:color="auto"/>
        <w:right w:val="none" w:sz="0" w:space="0" w:color="auto"/>
      </w:divBdr>
    </w:div>
    <w:div w:id="1129400052">
      <w:bodyDiv w:val="1"/>
      <w:marLeft w:val="0"/>
      <w:marRight w:val="0"/>
      <w:marTop w:val="0"/>
      <w:marBottom w:val="0"/>
      <w:divBdr>
        <w:top w:val="none" w:sz="0" w:space="0" w:color="auto"/>
        <w:left w:val="none" w:sz="0" w:space="0" w:color="auto"/>
        <w:bottom w:val="none" w:sz="0" w:space="0" w:color="auto"/>
        <w:right w:val="none" w:sz="0" w:space="0" w:color="auto"/>
      </w:divBdr>
      <w:divsChild>
        <w:div w:id="87192374">
          <w:marLeft w:val="0"/>
          <w:marRight w:val="0"/>
          <w:marTop w:val="0"/>
          <w:marBottom w:val="0"/>
          <w:divBdr>
            <w:top w:val="none" w:sz="0" w:space="0" w:color="auto"/>
            <w:left w:val="none" w:sz="0" w:space="0" w:color="auto"/>
            <w:bottom w:val="none" w:sz="0" w:space="0" w:color="auto"/>
            <w:right w:val="none" w:sz="0" w:space="0" w:color="auto"/>
          </w:divBdr>
          <w:divsChild>
            <w:div w:id="1018971391">
              <w:marLeft w:val="0"/>
              <w:marRight w:val="0"/>
              <w:marTop w:val="0"/>
              <w:marBottom w:val="0"/>
              <w:divBdr>
                <w:top w:val="none" w:sz="0" w:space="0" w:color="auto"/>
                <w:left w:val="none" w:sz="0" w:space="0" w:color="auto"/>
                <w:bottom w:val="none" w:sz="0" w:space="0" w:color="auto"/>
                <w:right w:val="none" w:sz="0" w:space="0" w:color="auto"/>
              </w:divBdr>
            </w:div>
          </w:divsChild>
        </w:div>
        <w:div w:id="358749263">
          <w:marLeft w:val="0"/>
          <w:marRight w:val="0"/>
          <w:marTop w:val="0"/>
          <w:marBottom w:val="0"/>
          <w:divBdr>
            <w:top w:val="none" w:sz="0" w:space="0" w:color="auto"/>
            <w:left w:val="none" w:sz="0" w:space="0" w:color="auto"/>
            <w:bottom w:val="none" w:sz="0" w:space="0" w:color="auto"/>
            <w:right w:val="none" w:sz="0" w:space="0" w:color="auto"/>
          </w:divBdr>
          <w:divsChild>
            <w:div w:id="92289962">
              <w:marLeft w:val="0"/>
              <w:marRight w:val="0"/>
              <w:marTop w:val="0"/>
              <w:marBottom w:val="0"/>
              <w:divBdr>
                <w:top w:val="none" w:sz="0" w:space="0" w:color="auto"/>
                <w:left w:val="none" w:sz="0" w:space="0" w:color="auto"/>
                <w:bottom w:val="none" w:sz="0" w:space="0" w:color="auto"/>
                <w:right w:val="none" w:sz="0" w:space="0" w:color="auto"/>
              </w:divBdr>
            </w:div>
          </w:divsChild>
        </w:div>
        <w:div w:id="274561488">
          <w:marLeft w:val="0"/>
          <w:marRight w:val="0"/>
          <w:marTop w:val="0"/>
          <w:marBottom w:val="0"/>
          <w:divBdr>
            <w:top w:val="none" w:sz="0" w:space="0" w:color="auto"/>
            <w:left w:val="none" w:sz="0" w:space="0" w:color="auto"/>
            <w:bottom w:val="none" w:sz="0" w:space="0" w:color="auto"/>
            <w:right w:val="none" w:sz="0" w:space="0" w:color="auto"/>
          </w:divBdr>
          <w:divsChild>
            <w:div w:id="680208724">
              <w:marLeft w:val="0"/>
              <w:marRight w:val="0"/>
              <w:marTop w:val="0"/>
              <w:marBottom w:val="0"/>
              <w:divBdr>
                <w:top w:val="none" w:sz="0" w:space="0" w:color="auto"/>
                <w:left w:val="none" w:sz="0" w:space="0" w:color="auto"/>
                <w:bottom w:val="none" w:sz="0" w:space="0" w:color="auto"/>
                <w:right w:val="none" w:sz="0" w:space="0" w:color="auto"/>
              </w:divBdr>
            </w:div>
          </w:divsChild>
        </w:div>
        <w:div w:id="73204742">
          <w:marLeft w:val="0"/>
          <w:marRight w:val="0"/>
          <w:marTop w:val="0"/>
          <w:marBottom w:val="0"/>
          <w:divBdr>
            <w:top w:val="none" w:sz="0" w:space="0" w:color="auto"/>
            <w:left w:val="none" w:sz="0" w:space="0" w:color="auto"/>
            <w:bottom w:val="none" w:sz="0" w:space="0" w:color="auto"/>
            <w:right w:val="none" w:sz="0" w:space="0" w:color="auto"/>
          </w:divBdr>
          <w:divsChild>
            <w:div w:id="1466505057">
              <w:marLeft w:val="0"/>
              <w:marRight w:val="0"/>
              <w:marTop w:val="0"/>
              <w:marBottom w:val="0"/>
              <w:divBdr>
                <w:top w:val="none" w:sz="0" w:space="0" w:color="auto"/>
                <w:left w:val="none" w:sz="0" w:space="0" w:color="auto"/>
                <w:bottom w:val="none" w:sz="0" w:space="0" w:color="auto"/>
                <w:right w:val="none" w:sz="0" w:space="0" w:color="auto"/>
              </w:divBdr>
            </w:div>
          </w:divsChild>
        </w:div>
        <w:div w:id="37097895">
          <w:marLeft w:val="0"/>
          <w:marRight w:val="0"/>
          <w:marTop w:val="0"/>
          <w:marBottom w:val="0"/>
          <w:divBdr>
            <w:top w:val="none" w:sz="0" w:space="0" w:color="auto"/>
            <w:left w:val="none" w:sz="0" w:space="0" w:color="auto"/>
            <w:bottom w:val="none" w:sz="0" w:space="0" w:color="auto"/>
            <w:right w:val="none" w:sz="0" w:space="0" w:color="auto"/>
          </w:divBdr>
          <w:divsChild>
            <w:div w:id="1604150993">
              <w:marLeft w:val="0"/>
              <w:marRight w:val="0"/>
              <w:marTop w:val="0"/>
              <w:marBottom w:val="0"/>
              <w:divBdr>
                <w:top w:val="none" w:sz="0" w:space="0" w:color="auto"/>
                <w:left w:val="none" w:sz="0" w:space="0" w:color="auto"/>
                <w:bottom w:val="none" w:sz="0" w:space="0" w:color="auto"/>
                <w:right w:val="none" w:sz="0" w:space="0" w:color="auto"/>
              </w:divBdr>
            </w:div>
          </w:divsChild>
        </w:div>
        <w:div w:id="2066368008">
          <w:marLeft w:val="0"/>
          <w:marRight w:val="0"/>
          <w:marTop w:val="0"/>
          <w:marBottom w:val="0"/>
          <w:divBdr>
            <w:top w:val="none" w:sz="0" w:space="0" w:color="auto"/>
            <w:left w:val="none" w:sz="0" w:space="0" w:color="auto"/>
            <w:bottom w:val="none" w:sz="0" w:space="0" w:color="auto"/>
            <w:right w:val="none" w:sz="0" w:space="0" w:color="auto"/>
          </w:divBdr>
          <w:divsChild>
            <w:div w:id="1340280673">
              <w:marLeft w:val="0"/>
              <w:marRight w:val="0"/>
              <w:marTop w:val="0"/>
              <w:marBottom w:val="0"/>
              <w:divBdr>
                <w:top w:val="none" w:sz="0" w:space="0" w:color="auto"/>
                <w:left w:val="none" w:sz="0" w:space="0" w:color="auto"/>
                <w:bottom w:val="none" w:sz="0" w:space="0" w:color="auto"/>
                <w:right w:val="none" w:sz="0" w:space="0" w:color="auto"/>
              </w:divBdr>
            </w:div>
          </w:divsChild>
        </w:div>
        <w:div w:id="709841927">
          <w:marLeft w:val="0"/>
          <w:marRight w:val="0"/>
          <w:marTop w:val="0"/>
          <w:marBottom w:val="0"/>
          <w:divBdr>
            <w:top w:val="none" w:sz="0" w:space="0" w:color="auto"/>
            <w:left w:val="none" w:sz="0" w:space="0" w:color="auto"/>
            <w:bottom w:val="none" w:sz="0" w:space="0" w:color="auto"/>
            <w:right w:val="none" w:sz="0" w:space="0" w:color="auto"/>
          </w:divBdr>
          <w:divsChild>
            <w:div w:id="729572327">
              <w:marLeft w:val="0"/>
              <w:marRight w:val="0"/>
              <w:marTop w:val="0"/>
              <w:marBottom w:val="0"/>
              <w:divBdr>
                <w:top w:val="none" w:sz="0" w:space="0" w:color="auto"/>
                <w:left w:val="none" w:sz="0" w:space="0" w:color="auto"/>
                <w:bottom w:val="none" w:sz="0" w:space="0" w:color="auto"/>
                <w:right w:val="none" w:sz="0" w:space="0" w:color="auto"/>
              </w:divBdr>
              <w:divsChild>
                <w:div w:id="1243954203">
                  <w:marLeft w:val="450"/>
                  <w:marRight w:val="0"/>
                  <w:marTop w:val="0"/>
                  <w:marBottom w:val="0"/>
                  <w:divBdr>
                    <w:top w:val="none" w:sz="0" w:space="0" w:color="auto"/>
                    <w:left w:val="none" w:sz="0" w:space="0" w:color="auto"/>
                    <w:bottom w:val="none" w:sz="0" w:space="0" w:color="auto"/>
                    <w:right w:val="none" w:sz="0" w:space="0" w:color="auto"/>
                  </w:divBdr>
                </w:div>
                <w:div w:id="163409240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30515424">
          <w:marLeft w:val="0"/>
          <w:marRight w:val="0"/>
          <w:marTop w:val="0"/>
          <w:marBottom w:val="0"/>
          <w:divBdr>
            <w:top w:val="none" w:sz="0" w:space="0" w:color="auto"/>
            <w:left w:val="none" w:sz="0" w:space="0" w:color="auto"/>
            <w:bottom w:val="none" w:sz="0" w:space="0" w:color="auto"/>
            <w:right w:val="none" w:sz="0" w:space="0" w:color="auto"/>
          </w:divBdr>
          <w:divsChild>
            <w:div w:id="2009288707">
              <w:marLeft w:val="0"/>
              <w:marRight w:val="0"/>
              <w:marTop w:val="0"/>
              <w:marBottom w:val="0"/>
              <w:divBdr>
                <w:top w:val="none" w:sz="0" w:space="0" w:color="auto"/>
                <w:left w:val="none" w:sz="0" w:space="0" w:color="auto"/>
                <w:bottom w:val="none" w:sz="0" w:space="0" w:color="auto"/>
                <w:right w:val="none" w:sz="0" w:space="0" w:color="auto"/>
              </w:divBdr>
              <w:divsChild>
                <w:div w:id="665012490">
                  <w:marLeft w:val="450"/>
                  <w:marRight w:val="0"/>
                  <w:marTop w:val="0"/>
                  <w:marBottom w:val="0"/>
                  <w:divBdr>
                    <w:top w:val="none" w:sz="0" w:space="0" w:color="auto"/>
                    <w:left w:val="none" w:sz="0" w:space="0" w:color="auto"/>
                    <w:bottom w:val="none" w:sz="0" w:space="0" w:color="auto"/>
                    <w:right w:val="none" w:sz="0" w:space="0" w:color="auto"/>
                  </w:divBdr>
                </w:div>
                <w:div w:id="621107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8291">
      <w:bodyDiv w:val="1"/>
      <w:marLeft w:val="0"/>
      <w:marRight w:val="0"/>
      <w:marTop w:val="0"/>
      <w:marBottom w:val="0"/>
      <w:divBdr>
        <w:top w:val="none" w:sz="0" w:space="0" w:color="auto"/>
        <w:left w:val="none" w:sz="0" w:space="0" w:color="auto"/>
        <w:bottom w:val="none" w:sz="0" w:space="0" w:color="auto"/>
        <w:right w:val="none" w:sz="0" w:space="0" w:color="auto"/>
      </w:divBdr>
      <w:divsChild>
        <w:div w:id="416710324">
          <w:marLeft w:val="450"/>
          <w:marRight w:val="0"/>
          <w:marTop w:val="0"/>
          <w:marBottom w:val="0"/>
          <w:divBdr>
            <w:top w:val="none" w:sz="0" w:space="0" w:color="auto"/>
            <w:left w:val="none" w:sz="0" w:space="0" w:color="auto"/>
            <w:bottom w:val="none" w:sz="0" w:space="0" w:color="auto"/>
            <w:right w:val="none" w:sz="0" w:space="0" w:color="auto"/>
          </w:divBdr>
        </w:div>
        <w:div w:id="1619489283">
          <w:marLeft w:val="450"/>
          <w:marRight w:val="0"/>
          <w:marTop w:val="0"/>
          <w:marBottom w:val="0"/>
          <w:divBdr>
            <w:top w:val="none" w:sz="0" w:space="0" w:color="auto"/>
            <w:left w:val="none" w:sz="0" w:space="0" w:color="auto"/>
            <w:bottom w:val="none" w:sz="0" w:space="0" w:color="auto"/>
            <w:right w:val="none" w:sz="0" w:space="0" w:color="auto"/>
          </w:divBdr>
        </w:div>
        <w:div w:id="2138720547">
          <w:marLeft w:val="450"/>
          <w:marRight w:val="0"/>
          <w:marTop w:val="0"/>
          <w:marBottom w:val="0"/>
          <w:divBdr>
            <w:top w:val="none" w:sz="0" w:space="0" w:color="auto"/>
            <w:left w:val="none" w:sz="0" w:space="0" w:color="auto"/>
            <w:bottom w:val="none" w:sz="0" w:space="0" w:color="auto"/>
            <w:right w:val="none" w:sz="0" w:space="0" w:color="auto"/>
          </w:divBdr>
        </w:div>
        <w:div w:id="1792437370">
          <w:marLeft w:val="450"/>
          <w:marRight w:val="0"/>
          <w:marTop w:val="0"/>
          <w:marBottom w:val="0"/>
          <w:divBdr>
            <w:top w:val="none" w:sz="0" w:space="0" w:color="auto"/>
            <w:left w:val="none" w:sz="0" w:space="0" w:color="auto"/>
            <w:bottom w:val="none" w:sz="0" w:space="0" w:color="auto"/>
            <w:right w:val="none" w:sz="0" w:space="0" w:color="auto"/>
          </w:divBdr>
        </w:div>
        <w:div w:id="695034579">
          <w:marLeft w:val="450"/>
          <w:marRight w:val="0"/>
          <w:marTop w:val="0"/>
          <w:marBottom w:val="0"/>
          <w:divBdr>
            <w:top w:val="none" w:sz="0" w:space="0" w:color="auto"/>
            <w:left w:val="none" w:sz="0" w:space="0" w:color="auto"/>
            <w:bottom w:val="none" w:sz="0" w:space="0" w:color="auto"/>
            <w:right w:val="none" w:sz="0" w:space="0" w:color="auto"/>
          </w:divBdr>
        </w:div>
        <w:div w:id="1280991307">
          <w:marLeft w:val="450"/>
          <w:marRight w:val="0"/>
          <w:marTop w:val="0"/>
          <w:marBottom w:val="0"/>
          <w:divBdr>
            <w:top w:val="none" w:sz="0" w:space="0" w:color="auto"/>
            <w:left w:val="none" w:sz="0" w:space="0" w:color="auto"/>
            <w:bottom w:val="none" w:sz="0" w:space="0" w:color="auto"/>
            <w:right w:val="none" w:sz="0" w:space="0" w:color="auto"/>
          </w:divBdr>
        </w:div>
      </w:divsChild>
    </w:div>
    <w:div w:id="1538424617">
      <w:bodyDiv w:val="1"/>
      <w:marLeft w:val="0"/>
      <w:marRight w:val="0"/>
      <w:marTop w:val="0"/>
      <w:marBottom w:val="0"/>
      <w:divBdr>
        <w:top w:val="none" w:sz="0" w:space="0" w:color="auto"/>
        <w:left w:val="none" w:sz="0" w:space="0" w:color="auto"/>
        <w:bottom w:val="none" w:sz="0" w:space="0" w:color="auto"/>
        <w:right w:val="none" w:sz="0" w:space="0" w:color="auto"/>
      </w:divBdr>
      <w:divsChild>
        <w:div w:id="2025672443">
          <w:marLeft w:val="0"/>
          <w:marRight w:val="0"/>
          <w:marTop w:val="0"/>
          <w:marBottom w:val="0"/>
          <w:divBdr>
            <w:top w:val="none" w:sz="0" w:space="0" w:color="auto"/>
            <w:left w:val="none" w:sz="0" w:space="0" w:color="auto"/>
            <w:bottom w:val="none" w:sz="0" w:space="0" w:color="auto"/>
            <w:right w:val="none" w:sz="0" w:space="0" w:color="auto"/>
          </w:divBdr>
          <w:divsChild>
            <w:div w:id="1040933251">
              <w:marLeft w:val="0"/>
              <w:marRight w:val="0"/>
              <w:marTop w:val="0"/>
              <w:marBottom w:val="0"/>
              <w:divBdr>
                <w:top w:val="none" w:sz="0" w:space="0" w:color="auto"/>
                <w:left w:val="none" w:sz="0" w:space="0" w:color="auto"/>
                <w:bottom w:val="none" w:sz="0" w:space="0" w:color="auto"/>
                <w:right w:val="none" w:sz="0" w:space="0" w:color="auto"/>
              </w:divBdr>
              <w:divsChild>
                <w:div w:id="1961108039">
                  <w:marLeft w:val="450"/>
                  <w:marRight w:val="0"/>
                  <w:marTop w:val="0"/>
                  <w:marBottom w:val="0"/>
                  <w:divBdr>
                    <w:top w:val="none" w:sz="0" w:space="0" w:color="auto"/>
                    <w:left w:val="none" w:sz="0" w:space="0" w:color="auto"/>
                    <w:bottom w:val="none" w:sz="0" w:space="0" w:color="auto"/>
                    <w:right w:val="none" w:sz="0" w:space="0" w:color="auto"/>
                  </w:divBdr>
                </w:div>
                <w:div w:id="20932345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14018250">
          <w:marLeft w:val="0"/>
          <w:marRight w:val="0"/>
          <w:marTop w:val="0"/>
          <w:marBottom w:val="0"/>
          <w:divBdr>
            <w:top w:val="none" w:sz="0" w:space="0" w:color="auto"/>
            <w:left w:val="none" w:sz="0" w:space="0" w:color="auto"/>
            <w:bottom w:val="none" w:sz="0" w:space="0" w:color="auto"/>
            <w:right w:val="none" w:sz="0" w:space="0" w:color="auto"/>
          </w:divBdr>
          <w:divsChild>
            <w:div w:id="252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5805">
      <w:bodyDiv w:val="1"/>
      <w:marLeft w:val="0"/>
      <w:marRight w:val="0"/>
      <w:marTop w:val="0"/>
      <w:marBottom w:val="0"/>
      <w:divBdr>
        <w:top w:val="none" w:sz="0" w:space="0" w:color="auto"/>
        <w:left w:val="none" w:sz="0" w:space="0" w:color="auto"/>
        <w:bottom w:val="none" w:sz="0" w:space="0" w:color="auto"/>
        <w:right w:val="none" w:sz="0" w:space="0" w:color="auto"/>
      </w:divBdr>
      <w:divsChild>
        <w:div w:id="786000202">
          <w:marLeft w:val="450"/>
          <w:marRight w:val="0"/>
          <w:marTop w:val="0"/>
          <w:marBottom w:val="0"/>
          <w:divBdr>
            <w:top w:val="none" w:sz="0" w:space="0" w:color="auto"/>
            <w:left w:val="none" w:sz="0" w:space="0" w:color="auto"/>
            <w:bottom w:val="none" w:sz="0" w:space="0" w:color="auto"/>
            <w:right w:val="none" w:sz="0" w:space="0" w:color="auto"/>
          </w:divBdr>
        </w:div>
        <w:div w:id="1648708045">
          <w:marLeft w:val="450"/>
          <w:marRight w:val="0"/>
          <w:marTop w:val="0"/>
          <w:marBottom w:val="0"/>
          <w:divBdr>
            <w:top w:val="none" w:sz="0" w:space="0" w:color="auto"/>
            <w:left w:val="none" w:sz="0" w:space="0" w:color="auto"/>
            <w:bottom w:val="none" w:sz="0" w:space="0" w:color="auto"/>
            <w:right w:val="none" w:sz="0" w:space="0" w:color="auto"/>
          </w:divBdr>
        </w:div>
        <w:div w:id="1404185996">
          <w:marLeft w:val="450"/>
          <w:marRight w:val="0"/>
          <w:marTop w:val="0"/>
          <w:marBottom w:val="0"/>
          <w:divBdr>
            <w:top w:val="none" w:sz="0" w:space="0" w:color="auto"/>
            <w:left w:val="none" w:sz="0" w:space="0" w:color="auto"/>
            <w:bottom w:val="none" w:sz="0" w:space="0" w:color="auto"/>
            <w:right w:val="none" w:sz="0" w:space="0" w:color="auto"/>
          </w:divBdr>
        </w:div>
      </w:divsChild>
    </w:div>
    <w:div w:id="1846705857">
      <w:bodyDiv w:val="1"/>
      <w:marLeft w:val="0"/>
      <w:marRight w:val="0"/>
      <w:marTop w:val="0"/>
      <w:marBottom w:val="0"/>
      <w:divBdr>
        <w:top w:val="none" w:sz="0" w:space="0" w:color="auto"/>
        <w:left w:val="none" w:sz="0" w:space="0" w:color="auto"/>
        <w:bottom w:val="none" w:sz="0" w:space="0" w:color="auto"/>
        <w:right w:val="none" w:sz="0" w:space="0" w:color="auto"/>
      </w:divBdr>
      <w:divsChild>
        <w:div w:id="1611008849">
          <w:marLeft w:val="0"/>
          <w:marRight w:val="0"/>
          <w:marTop w:val="0"/>
          <w:marBottom w:val="0"/>
          <w:divBdr>
            <w:top w:val="none" w:sz="0" w:space="0" w:color="auto"/>
            <w:left w:val="none" w:sz="0" w:space="0" w:color="auto"/>
            <w:bottom w:val="none" w:sz="0" w:space="0" w:color="auto"/>
            <w:right w:val="none" w:sz="0" w:space="0" w:color="auto"/>
          </w:divBdr>
          <w:divsChild>
            <w:div w:id="1089041298">
              <w:marLeft w:val="0"/>
              <w:marRight w:val="0"/>
              <w:marTop w:val="0"/>
              <w:marBottom w:val="0"/>
              <w:divBdr>
                <w:top w:val="none" w:sz="0" w:space="0" w:color="auto"/>
                <w:left w:val="none" w:sz="0" w:space="0" w:color="auto"/>
                <w:bottom w:val="none" w:sz="0" w:space="0" w:color="auto"/>
                <w:right w:val="none" w:sz="0" w:space="0" w:color="auto"/>
              </w:divBdr>
            </w:div>
          </w:divsChild>
        </w:div>
        <w:div w:id="1293513495">
          <w:marLeft w:val="0"/>
          <w:marRight w:val="0"/>
          <w:marTop w:val="0"/>
          <w:marBottom w:val="0"/>
          <w:divBdr>
            <w:top w:val="none" w:sz="0" w:space="0" w:color="auto"/>
            <w:left w:val="none" w:sz="0" w:space="0" w:color="auto"/>
            <w:bottom w:val="none" w:sz="0" w:space="0" w:color="auto"/>
            <w:right w:val="none" w:sz="0" w:space="0" w:color="auto"/>
          </w:divBdr>
          <w:divsChild>
            <w:div w:id="179124183">
              <w:marLeft w:val="0"/>
              <w:marRight w:val="0"/>
              <w:marTop w:val="0"/>
              <w:marBottom w:val="0"/>
              <w:divBdr>
                <w:top w:val="none" w:sz="0" w:space="0" w:color="auto"/>
                <w:left w:val="none" w:sz="0" w:space="0" w:color="auto"/>
                <w:bottom w:val="none" w:sz="0" w:space="0" w:color="auto"/>
                <w:right w:val="none" w:sz="0" w:space="0" w:color="auto"/>
              </w:divBdr>
              <w:divsChild>
                <w:div w:id="2135560842">
                  <w:marLeft w:val="450"/>
                  <w:marRight w:val="0"/>
                  <w:marTop w:val="0"/>
                  <w:marBottom w:val="0"/>
                  <w:divBdr>
                    <w:top w:val="none" w:sz="0" w:space="0" w:color="auto"/>
                    <w:left w:val="none" w:sz="0" w:space="0" w:color="auto"/>
                    <w:bottom w:val="none" w:sz="0" w:space="0" w:color="auto"/>
                    <w:right w:val="none" w:sz="0" w:space="0" w:color="auto"/>
                  </w:divBdr>
                </w:div>
                <w:div w:id="954095939">
                  <w:marLeft w:val="450"/>
                  <w:marRight w:val="0"/>
                  <w:marTop w:val="0"/>
                  <w:marBottom w:val="0"/>
                  <w:divBdr>
                    <w:top w:val="none" w:sz="0" w:space="0" w:color="auto"/>
                    <w:left w:val="none" w:sz="0" w:space="0" w:color="auto"/>
                    <w:bottom w:val="none" w:sz="0" w:space="0" w:color="auto"/>
                    <w:right w:val="none" w:sz="0" w:space="0" w:color="auto"/>
                  </w:divBdr>
                </w:div>
                <w:div w:id="1525994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3796559">
          <w:marLeft w:val="0"/>
          <w:marRight w:val="0"/>
          <w:marTop w:val="0"/>
          <w:marBottom w:val="0"/>
          <w:divBdr>
            <w:top w:val="none" w:sz="0" w:space="0" w:color="auto"/>
            <w:left w:val="none" w:sz="0" w:space="0" w:color="auto"/>
            <w:bottom w:val="none" w:sz="0" w:space="0" w:color="auto"/>
            <w:right w:val="none" w:sz="0" w:space="0" w:color="auto"/>
          </w:divBdr>
          <w:divsChild>
            <w:div w:id="19275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9351">
      <w:bodyDiv w:val="1"/>
      <w:marLeft w:val="0"/>
      <w:marRight w:val="0"/>
      <w:marTop w:val="0"/>
      <w:marBottom w:val="0"/>
      <w:divBdr>
        <w:top w:val="none" w:sz="0" w:space="0" w:color="auto"/>
        <w:left w:val="none" w:sz="0" w:space="0" w:color="auto"/>
        <w:bottom w:val="none" w:sz="0" w:space="0" w:color="auto"/>
        <w:right w:val="none" w:sz="0" w:space="0" w:color="auto"/>
      </w:divBdr>
      <w:divsChild>
        <w:div w:id="1422986352">
          <w:marLeft w:val="0"/>
          <w:marRight w:val="0"/>
          <w:marTop w:val="0"/>
          <w:marBottom w:val="0"/>
          <w:divBdr>
            <w:top w:val="none" w:sz="0" w:space="0" w:color="auto"/>
            <w:left w:val="none" w:sz="0" w:space="0" w:color="auto"/>
            <w:bottom w:val="none" w:sz="0" w:space="0" w:color="auto"/>
            <w:right w:val="none" w:sz="0" w:space="0" w:color="auto"/>
          </w:divBdr>
          <w:divsChild>
            <w:div w:id="1249730452">
              <w:marLeft w:val="0"/>
              <w:marRight w:val="0"/>
              <w:marTop w:val="0"/>
              <w:marBottom w:val="0"/>
              <w:divBdr>
                <w:top w:val="none" w:sz="0" w:space="0" w:color="auto"/>
                <w:left w:val="none" w:sz="0" w:space="0" w:color="auto"/>
                <w:bottom w:val="none" w:sz="0" w:space="0" w:color="auto"/>
                <w:right w:val="none" w:sz="0" w:space="0" w:color="auto"/>
              </w:divBdr>
            </w:div>
          </w:divsChild>
        </w:div>
        <w:div w:id="903175351">
          <w:marLeft w:val="0"/>
          <w:marRight w:val="0"/>
          <w:marTop w:val="0"/>
          <w:marBottom w:val="0"/>
          <w:divBdr>
            <w:top w:val="none" w:sz="0" w:space="0" w:color="auto"/>
            <w:left w:val="none" w:sz="0" w:space="0" w:color="auto"/>
            <w:bottom w:val="none" w:sz="0" w:space="0" w:color="auto"/>
            <w:right w:val="none" w:sz="0" w:space="0" w:color="auto"/>
          </w:divBdr>
          <w:divsChild>
            <w:div w:id="705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3243</Words>
  <Characters>18488</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Laina Chan</cp:lastModifiedBy>
  <cp:revision>3</cp:revision>
  <cp:lastPrinted>2016-03-14T22:14:00Z</cp:lastPrinted>
  <dcterms:created xsi:type="dcterms:W3CDTF">2016-03-14T22:14:00Z</dcterms:created>
  <dcterms:modified xsi:type="dcterms:W3CDTF">2016-03-14T22:14:00Z</dcterms:modified>
</cp:coreProperties>
</file>